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2FE9E">
      <w:pPr>
        <w:jc w:val="center"/>
        <w:rPr>
          <w:rFonts w:hint="eastAsia" w:ascii="方正小标宋简体" w:eastAsia="方正小标宋简体"/>
          <w:color w:val="000000" w:themeColor="text1"/>
          <w:kern w:val="0"/>
          <w:sz w:val="52"/>
          <w:szCs w:val="52"/>
          <w:lang w:val="en-US" w:eastAsia="zh-CN"/>
          <w14:textFill>
            <w14:solidFill>
              <w14:schemeClr w14:val="tx1"/>
            </w14:solidFill>
          </w14:textFill>
        </w:rPr>
      </w:pPr>
      <w:r>
        <w:rPr>
          <w:rFonts w:hint="eastAsia" w:ascii="方正小标宋简体" w:eastAsia="方正小标宋简体"/>
          <w:color w:val="000000" w:themeColor="text1"/>
          <w:kern w:val="0"/>
          <w:sz w:val="52"/>
          <w:szCs w:val="52"/>
          <w:lang w:val="en-US" w:eastAsia="zh-CN"/>
          <w14:textFill>
            <w14:solidFill>
              <w14:schemeClr w14:val="tx1"/>
            </w14:solidFill>
          </w14:textFill>
        </w:rPr>
        <w:t>梧州学院</w:t>
      </w:r>
    </w:p>
    <w:p w14:paraId="085523EF">
      <w:pPr>
        <w:spacing w:line="560" w:lineRule="exact"/>
        <w:ind w:left="0" w:leftChars="0" w:firstLine="0" w:firstLineChars="0"/>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lang w:eastAsia="zh-CN"/>
        </w:rPr>
        <w:t>2024</w:t>
      </w:r>
      <w:r>
        <w:rPr>
          <w:rFonts w:hint="eastAsia" w:ascii="方正小标宋简体" w:eastAsia="方正小标宋简体" w:cs="ArialUnicodeMS"/>
          <w:kern w:val="0"/>
          <w:sz w:val="52"/>
          <w:szCs w:val="52"/>
        </w:rPr>
        <w:t>年度部门决算</w:t>
      </w:r>
    </w:p>
    <w:p w14:paraId="031B895A">
      <w:pPr>
        <w:spacing w:line="560" w:lineRule="exact"/>
        <w:ind w:firstLine="646"/>
        <w:jc w:val="center"/>
        <w:rPr>
          <w:rFonts w:hint="eastAsia" w:ascii="方正小标宋简体" w:eastAsia="方正小标宋简体" w:cs="ArialUnicodeMS"/>
          <w:kern w:val="0"/>
          <w:sz w:val="52"/>
          <w:szCs w:val="52"/>
        </w:rPr>
      </w:pPr>
    </w:p>
    <w:p w14:paraId="7FDCC980">
      <w:pPr>
        <w:spacing w:line="560" w:lineRule="exact"/>
        <w:ind w:left="0" w:leftChars="0" w:firstLine="0" w:firstLineChars="0"/>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1BE59096">
      <w:pPr>
        <w:spacing w:line="560" w:lineRule="exact"/>
        <w:ind w:firstLine="645"/>
        <w:rPr>
          <w:rFonts w:hint="eastAsia" w:ascii="仿宋_GB2312" w:eastAsia="仿宋_GB2312"/>
          <w:b/>
          <w:sz w:val="32"/>
          <w:szCs w:val="32"/>
        </w:rPr>
      </w:pPr>
    </w:p>
    <w:p w14:paraId="6A3EBCD8">
      <w:pPr>
        <w:spacing w:line="560" w:lineRule="exact"/>
        <w:ind w:firstLine="645"/>
        <w:rPr>
          <w:rFonts w:hint="eastAsia" w:ascii="黑体" w:hAnsi="黑体" w:eastAsia="黑体"/>
          <w:sz w:val="32"/>
          <w:szCs w:val="32"/>
        </w:rPr>
      </w:pPr>
      <w:r>
        <w:rPr>
          <w:rFonts w:hint="eastAsia" w:ascii="黑体" w:hAnsi="黑体" w:eastAsia="黑体"/>
          <w:sz w:val="32"/>
          <w:szCs w:val="32"/>
        </w:rPr>
        <w:t>第一部分：概况</w:t>
      </w:r>
    </w:p>
    <w:p w14:paraId="09028250">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7D2B463E">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7F726253">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eastAsia="zh-CN"/>
        </w:rPr>
        <w:t>2024</w:t>
      </w:r>
      <w:r>
        <w:rPr>
          <w:rFonts w:hint="eastAsia" w:ascii="黑体" w:hAnsi="黑体" w:eastAsia="黑体"/>
          <w:sz w:val="32"/>
          <w:szCs w:val="32"/>
        </w:rPr>
        <w:t>年度部门决算报表</w:t>
      </w:r>
    </w:p>
    <w:p w14:paraId="6DD6D913">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415D3A2D">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03AF37E1">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5A95C5E0">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4FFF1876">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38983DE8">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3A82555C">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7F497D3C">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540EC7C4">
      <w:pPr>
        <w:spacing w:line="560" w:lineRule="exact"/>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6DCA17B7">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2024</w:t>
      </w:r>
      <w:r>
        <w:rPr>
          <w:rFonts w:hint="eastAsia" w:ascii="黑体" w:hAnsi="黑体" w:eastAsia="黑体"/>
          <w:sz w:val="32"/>
          <w:szCs w:val="32"/>
        </w:rPr>
        <w:t>年度部门决算情况说明</w:t>
      </w:r>
    </w:p>
    <w:p w14:paraId="44FE4C5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一、收入支出决算总体情况</w:t>
      </w:r>
    </w:p>
    <w:p w14:paraId="6428462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47A9A0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三、一般公共预算财政拨款基本支出决算情况说明</w:t>
      </w:r>
    </w:p>
    <w:p w14:paraId="0CE4F01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四、政府性基金支出决算情况</w:t>
      </w:r>
    </w:p>
    <w:p w14:paraId="4AF5ACB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五、国有资本经营预算支出决算情况</w:t>
      </w:r>
    </w:p>
    <w:p w14:paraId="3FB396F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4F8E37E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44F0D07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03341E99">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1BD4AB16">
      <w:pPr>
        <w:spacing w:line="560" w:lineRule="exact"/>
        <w:jc w:val="center"/>
        <w:rPr>
          <w:rFonts w:hint="eastAsia" w:ascii="仿宋_GB2312" w:eastAsia="仿宋_GB2312"/>
        </w:rPr>
      </w:pPr>
    </w:p>
    <w:p w14:paraId="6B70740C">
      <w:pPr>
        <w:rPr>
          <w:rFonts w:hint="eastAsia" w:ascii="仿宋_GB2312" w:eastAsia="仿宋_GB2312"/>
          <w:b/>
          <w:sz w:val="32"/>
          <w:szCs w:val="32"/>
        </w:rPr>
      </w:pPr>
    </w:p>
    <w:p w14:paraId="7D3CFC53">
      <w:pPr>
        <w:rPr>
          <w:rFonts w:hint="eastAsia" w:ascii="仿宋_GB2312" w:eastAsia="仿宋_GB2312"/>
          <w:b/>
          <w:sz w:val="32"/>
          <w:szCs w:val="32"/>
        </w:rPr>
      </w:pPr>
    </w:p>
    <w:p w14:paraId="5C522AE3">
      <w:pPr>
        <w:rPr>
          <w:rFonts w:hint="eastAsia" w:ascii="仿宋_GB2312" w:eastAsia="仿宋_GB2312"/>
          <w:b/>
          <w:sz w:val="32"/>
          <w:szCs w:val="32"/>
        </w:rPr>
      </w:pPr>
    </w:p>
    <w:p w14:paraId="01719744">
      <w:pPr>
        <w:rPr>
          <w:rFonts w:hint="eastAsia" w:ascii="仿宋_GB2312" w:eastAsia="仿宋_GB2312"/>
          <w:b/>
          <w:sz w:val="32"/>
          <w:szCs w:val="32"/>
        </w:rPr>
      </w:pPr>
    </w:p>
    <w:p w14:paraId="45BE9918">
      <w:pPr>
        <w:rPr>
          <w:rFonts w:hint="eastAsia" w:ascii="仿宋_GB2312" w:eastAsia="仿宋_GB2312"/>
          <w:b/>
          <w:sz w:val="32"/>
          <w:szCs w:val="32"/>
        </w:rPr>
      </w:pPr>
    </w:p>
    <w:p w14:paraId="18F13A3D">
      <w:pPr>
        <w:rPr>
          <w:rFonts w:hint="eastAsia" w:ascii="仿宋_GB2312" w:eastAsia="仿宋_GB2312"/>
          <w:b/>
          <w:sz w:val="32"/>
          <w:szCs w:val="32"/>
        </w:rPr>
      </w:pPr>
    </w:p>
    <w:p w14:paraId="698929B4">
      <w:pPr>
        <w:rPr>
          <w:rFonts w:hint="eastAsia" w:ascii="仿宋_GB2312" w:eastAsia="仿宋_GB2312"/>
          <w:b/>
          <w:sz w:val="32"/>
          <w:szCs w:val="32"/>
        </w:rPr>
      </w:pPr>
    </w:p>
    <w:p w14:paraId="18B51EE4">
      <w:pPr>
        <w:rPr>
          <w:rFonts w:hint="eastAsia" w:ascii="仿宋_GB2312" w:eastAsia="仿宋_GB2312"/>
          <w:b/>
          <w:sz w:val="32"/>
          <w:szCs w:val="32"/>
        </w:rPr>
      </w:pPr>
    </w:p>
    <w:p w14:paraId="5BBB1E1C">
      <w:pPr>
        <w:rPr>
          <w:rFonts w:hint="eastAsia" w:ascii="仿宋_GB2312" w:eastAsia="仿宋_GB2312"/>
          <w:b/>
          <w:sz w:val="32"/>
          <w:szCs w:val="32"/>
        </w:rPr>
      </w:pPr>
    </w:p>
    <w:p w14:paraId="680A0445">
      <w:pPr>
        <w:rPr>
          <w:rFonts w:hint="eastAsia" w:ascii="仿宋_GB2312" w:eastAsia="仿宋_GB2312"/>
          <w:b/>
          <w:sz w:val="32"/>
          <w:szCs w:val="32"/>
        </w:rPr>
      </w:pPr>
    </w:p>
    <w:p w14:paraId="050B6CDA">
      <w:pPr>
        <w:rPr>
          <w:rFonts w:hint="eastAsia" w:ascii="仿宋_GB2312" w:eastAsia="仿宋_GB2312"/>
          <w:b/>
          <w:sz w:val="32"/>
          <w:szCs w:val="32"/>
        </w:rPr>
      </w:pPr>
    </w:p>
    <w:p w14:paraId="054A6428">
      <w:pPr>
        <w:rPr>
          <w:rFonts w:hint="eastAsia" w:ascii="仿宋_GB2312" w:eastAsia="仿宋_GB2312"/>
          <w:b/>
          <w:sz w:val="32"/>
          <w:szCs w:val="32"/>
        </w:rPr>
      </w:pPr>
    </w:p>
    <w:p w14:paraId="2EAD80E6">
      <w:pPr>
        <w:rPr>
          <w:rFonts w:hint="eastAsia" w:ascii="仿宋_GB2312" w:eastAsia="仿宋_GB2312"/>
          <w:b/>
          <w:sz w:val="32"/>
          <w:szCs w:val="32"/>
        </w:rPr>
      </w:pPr>
    </w:p>
    <w:p w14:paraId="3362F40A">
      <w:pPr>
        <w:rPr>
          <w:rFonts w:hint="eastAsia" w:ascii="仿宋_GB2312" w:eastAsia="仿宋_GB2312"/>
          <w:b/>
          <w:sz w:val="32"/>
          <w:szCs w:val="32"/>
        </w:rPr>
      </w:pPr>
    </w:p>
    <w:p w14:paraId="20BC4597">
      <w:pPr>
        <w:rPr>
          <w:rFonts w:hint="eastAsia" w:ascii="仿宋_GB2312" w:eastAsia="仿宋_GB2312"/>
          <w:b/>
          <w:sz w:val="32"/>
          <w:szCs w:val="32"/>
        </w:rPr>
      </w:pPr>
    </w:p>
    <w:p w14:paraId="1F95C7E3">
      <w:pPr>
        <w:spacing w:line="560" w:lineRule="exact"/>
        <w:jc w:val="both"/>
        <w:rPr>
          <w:rFonts w:hint="eastAsia" w:ascii="黑体" w:hAnsi="黑体" w:eastAsia="黑体"/>
          <w:sz w:val="32"/>
          <w:szCs w:val="32"/>
        </w:rPr>
      </w:pPr>
    </w:p>
    <w:p w14:paraId="1E8301CC">
      <w:pPr>
        <w:spacing w:line="560" w:lineRule="exact"/>
        <w:jc w:val="center"/>
        <w:rPr>
          <w:rFonts w:hint="eastAsia" w:ascii="黑体" w:hAnsi="黑体" w:eastAsia="黑体"/>
          <w:sz w:val="32"/>
          <w:szCs w:val="32"/>
        </w:rPr>
      </w:pPr>
      <w:r>
        <w:rPr>
          <w:rFonts w:hint="eastAsia" w:ascii="黑体" w:hAnsi="黑体" w:eastAsia="黑体"/>
          <w:sz w:val="32"/>
          <w:szCs w:val="32"/>
        </w:rPr>
        <w:t>第一部分：概况</w:t>
      </w:r>
    </w:p>
    <w:p w14:paraId="2BE1ED0E">
      <w:pPr>
        <w:spacing w:line="560" w:lineRule="exact"/>
        <w:jc w:val="center"/>
        <w:rPr>
          <w:rFonts w:hint="eastAsia" w:ascii="黑体" w:hAnsi="黑体" w:eastAsia="黑体"/>
          <w:sz w:val="32"/>
          <w:szCs w:val="32"/>
        </w:rPr>
      </w:pPr>
    </w:p>
    <w:p w14:paraId="22C0C312">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5387467D">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ind w:right="0" w:rightChars="0" w:firstLine="640" w:firstLineChars="200"/>
        <w:jc w:val="both"/>
        <w:textAlignment w:val="auto"/>
        <w:rPr>
          <w:rFonts w:hint="eastAsia" w:ascii="仿宋_GB2312" w:eastAsia="仿宋_GB2312"/>
          <w:sz w:val="32"/>
          <w:szCs w:val="32"/>
          <w:u w:val="none"/>
        </w:rPr>
      </w:pPr>
      <w:r>
        <w:rPr>
          <w:rFonts w:hint="eastAsia" w:ascii="仿宋_GB2312" w:hAnsi="仿宋_GB2312" w:eastAsia="仿宋_GB2312" w:cs="仿宋_GB2312"/>
          <w:color w:val="000000"/>
          <w:kern w:val="2"/>
          <w:sz w:val="32"/>
          <w:szCs w:val="32"/>
          <w:u w:val="none"/>
          <w:lang w:val="en-US" w:eastAsia="zh-CN" w:bidi="ar"/>
        </w:rPr>
        <w:t xml:space="preserve">梧州学院是一所多科性公办普通本科院校。学校坚持以育人为根本，以教学为中心，以人才为支撑，以服务谋发展，按照“实基础、适口径、重能力、能创新”要求，立足梧州，面向两广，辐射东南亚，主动服务国家和区域发展战略，培养品学兼优、人文素养良好、适应社会需要、富有创新创业精神的应用型人才。 </w:t>
      </w:r>
    </w:p>
    <w:p w14:paraId="6BEB6AE8">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1BBC6F0F">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楷体_GB2312" w:hAnsi="楷体_GB2312" w:eastAsia="楷体_GB2312" w:cs="楷体_GB2312"/>
          <w:b/>
          <w:bCs/>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（一）梧州学院共有直属单位0个。</w:t>
      </w:r>
    </w:p>
    <w:p w14:paraId="12D2BA1C">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（二）梧州学院内设机构共设35个，</w:t>
      </w:r>
      <w:r>
        <w:rPr>
          <w:rFonts w:hint="eastAsia" w:ascii="仿宋_GB2312" w:hAnsi="仿宋_GB2312" w:eastAsia="仿宋_GB2312" w:cs="仿宋_GB2312"/>
          <w:color w:val="000000"/>
          <w:kern w:val="2"/>
          <w:sz w:val="32"/>
          <w:szCs w:val="32"/>
          <w:lang w:val="en-US" w:eastAsia="zh-CN" w:bidi="ar"/>
        </w:rPr>
        <w:t>其中：</w:t>
      </w:r>
    </w:p>
    <w:p w14:paraId="32749E04">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1.党政管理机构16个，分别是（1）党委办公室•院长办公室，（2）纪委办公室•监察室•巡察办公室，（3）党委组织部，（4）党委宣传部•党委教师工作部，（5）党委统战部，（6）党委学生工作部•学生工作处•武装部，（7）人事处•离退休工作处•职改办，（8）发展规划处•研究生处，（9）教务处，（10）科研处•社科处，（11）国际交流处•港澳台事务办公室，（12）财务处，（13）审计处，（14）国有资产管理处，（15）后勤基建处，（16）保卫处。    </w:t>
      </w:r>
    </w:p>
    <w:p w14:paraId="33D97C29">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2.群团组织机构2个，分别是（1）校工会，（2）共青团梧州</w:t>
      </w:r>
      <w:r>
        <w:rPr>
          <w:rFonts w:hint="eastAsia" w:ascii="仿宋_GB2312" w:hAnsi="仿宋_GB2312" w:eastAsia="仿宋_GB2312" w:cs="仿宋_GB2312"/>
          <w:color w:val="auto"/>
          <w:kern w:val="2"/>
          <w:sz w:val="32"/>
          <w:szCs w:val="32"/>
          <w:lang w:val="en-US" w:eastAsia="zh-CN" w:bidi="ar"/>
        </w:rPr>
        <w:t>学院</w:t>
      </w:r>
      <w:r>
        <w:rPr>
          <w:rFonts w:hint="eastAsia" w:ascii="仿宋_GB2312" w:hAnsi="仿宋_GB2312" w:eastAsia="仿宋_GB2312" w:cs="仿宋_GB2312"/>
          <w:color w:val="000000"/>
          <w:kern w:val="2"/>
          <w:sz w:val="32"/>
          <w:szCs w:val="32"/>
          <w:lang w:val="en-US" w:eastAsia="zh-CN" w:bidi="ar"/>
        </w:rPr>
        <w:t>委员会。</w:t>
      </w:r>
    </w:p>
    <w:p w14:paraId="714C9F40">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教学单位13个，分别是（1）宝石与艺术设计学院（宝石现代产业学院），（2）外国语学院，（3）商学院，（4）管理学院，（5）机械与资源工程学院，（6）食品与制药工程学院（六堡茶产业学院），（7）教师教育学院，（8）大数据与软件工程学院，（9）电子与信息工程学院，（10）文学与传媒学院，（11）法学院，（12）马克思主义学院，（13）体育健康学院。</w:t>
      </w:r>
    </w:p>
    <w:p w14:paraId="74DA6982">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4.教辅单位5个，分别是（1）国际交流处，（2）图书馆，（3）继续教育学院，（4）创新创业教育学院，（5）现代教育技术中心。</w:t>
      </w:r>
    </w:p>
    <w:p w14:paraId="7C51D589">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5.科研机构2个，分别是（1）广西机器视觉与智能控制重点实验室，（2）广西高校智能软件重点实验室。</w:t>
      </w:r>
    </w:p>
    <w:p w14:paraId="6680E1BC">
      <w:pPr>
        <w:keepNext w:val="0"/>
        <w:keepLines w:val="0"/>
        <w:pageBreakBefore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楷体_GB2312" w:hAnsi="楷体_GB2312" w:eastAsia="楷体_GB2312" w:cs="楷体_GB2312"/>
          <w:b/>
          <w:bCs/>
          <w:color w:val="000000"/>
          <w:kern w:val="2"/>
          <w:sz w:val="32"/>
          <w:szCs w:val="32"/>
          <w:lang w:val="en-US" w:eastAsia="zh-CN"/>
        </w:rPr>
      </w:pPr>
      <w:r>
        <w:rPr>
          <w:rFonts w:hint="eastAsia" w:ascii="楷体_GB2312" w:hAnsi="楷体_GB2312" w:eastAsia="楷体_GB2312" w:cs="楷体_GB2312"/>
          <w:b/>
          <w:bCs/>
          <w:color w:val="000000"/>
          <w:sz w:val="32"/>
          <w:szCs w:val="32"/>
          <w:lang w:eastAsia="zh-CN"/>
        </w:rPr>
        <w:t>（三）</w:t>
      </w:r>
      <w:r>
        <w:rPr>
          <w:rFonts w:hint="eastAsia" w:ascii="楷体_GB2312" w:hAnsi="楷体_GB2312" w:eastAsia="楷体_GB2312" w:cs="楷体_GB2312"/>
          <w:b/>
          <w:bCs/>
          <w:color w:val="000000"/>
          <w:sz w:val="32"/>
          <w:szCs w:val="32"/>
        </w:rPr>
        <w:t>人员情况，包括当年变动情况及原因。</w:t>
      </w:r>
    </w:p>
    <w:p w14:paraId="6E9241F0">
      <w:pPr>
        <w:ind w:firstLine="646"/>
        <w:jc w:val="left"/>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2024年年末实有人数1,341人（</w:t>
      </w:r>
      <w:r>
        <w:rPr>
          <w:rFonts w:hint="eastAsia" w:ascii="仿宋_GB2312" w:hAnsi="仿宋_GB2312" w:eastAsia="仿宋_GB2312" w:cs="仿宋_GB2312"/>
          <w:sz w:val="32"/>
          <w:szCs w:val="32"/>
          <w:highlight w:val="none"/>
          <w:lang w:val="en-US" w:eastAsia="zh-CN"/>
        </w:rPr>
        <w:t>不含遗属优抚人员），</w:t>
      </w:r>
      <w:r>
        <w:rPr>
          <w:rFonts w:hint="eastAsia" w:ascii="仿宋_GB2312" w:hAnsi="仿宋_GB2312" w:eastAsia="仿宋_GB2312" w:cs="仿宋_GB2312"/>
          <w:sz w:val="32"/>
          <w:szCs w:val="32"/>
          <w:highlight w:val="none"/>
          <w:lang w:val="en-US" w:eastAsia="zh-CN" w:bidi="ar"/>
        </w:rPr>
        <w:t>与2023年度相比，增加7人，增加的原因为</w:t>
      </w:r>
      <w:r>
        <w:rPr>
          <w:rFonts w:hint="eastAsia" w:ascii="仿宋_GB2312" w:hAnsi="仿宋_GB2312" w:eastAsia="仿宋_GB2312" w:cs="仿宋_GB2312"/>
          <w:color w:val="000000"/>
          <w:kern w:val="2"/>
          <w:sz w:val="32"/>
          <w:szCs w:val="32"/>
          <w:lang w:val="en-US" w:eastAsia="zh-CN"/>
        </w:rPr>
        <w:t>年度人员正常变动</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color w:val="000000"/>
          <w:kern w:val="2"/>
          <w:sz w:val="32"/>
          <w:szCs w:val="32"/>
          <w:lang w:val="en-US" w:eastAsia="zh-CN"/>
        </w:rPr>
        <w:t>一般公共预算财政拨款开支人员</w:t>
      </w:r>
      <w:r>
        <w:rPr>
          <w:rFonts w:hint="eastAsia" w:ascii="仿宋_GB2312" w:hAnsi="仿宋_GB2312" w:eastAsia="仿宋_GB2312" w:cs="仿宋_GB2312"/>
          <w:sz w:val="32"/>
          <w:szCs w:val="32"/>
          <w:highlight w:val="none"/>
          <w:lang w:val="en-US" w:eastAsia="zh-CN" w:bidi="ar"/>
        </w:rPr>
        <w:t>727人，</w:t>
      </w:r>
      <w:r>
        <w:rPr>
          <w:rFonts w:hint="eastAsia" w:ascii="仿宋_GB2312" w:hAnsi="仿宋_GB2312" w:eastAsia="仿宋_GB2312" w:cs="仿宋_GB2312"/>
          <w:color w:val="000000"/>
          <w:kern w:val="2"/>
          <w:sz w:val="32"/>
          <w:szCs w:val="32"/>
          <w:lang w:val="en-US" w:eastAsia="zh-CN"/>
        </w:rPr>
        <w:t>经费自理人员</w:t>
      </w:r>
      <w:r>
        <w:rPr>
          <w:rFonts w:hint="eastAsia" w:ascii="仿宋_GB2312" w:hAnsi="仿宋_GB2312" w:eastAsia="仿宋_GB2312" w:cs="仿宋_GB2312"/>
          <w:sz w:val="32"/>
          <w:szCs w:val="32"/>
          <w:highlight w:val="none"/>
          <w:lang w:val="en-US" w:eastAsia="zh-CN" w:bidi="ar"/>
        </w:rPr>
        <w:t>614人。</w:t>
      </w:r>
    </w:p>
    <w:p w14:paraId="7AED0488">
      <w:pPr>
        <w:ind w:firstLine="646"/>
        <w:jc w:val="center"/>
        <w:rPr>
          <w:rFonts w:hint="eastAsia" w:ascii="仿宋_GB2312" w:hAnsi="仿宋_GB2312" w:eastAsia="仿宋_GB2312" w:cs="仿宋_GB2312"/>
          <w:sz w:val="32"/>
          <w:szCs w:val="32"/>
          <w:highlight w:val="none"/>
          <w:lang w:val="en-US" w:eastAsia="zh-CN" w:bidi="ar"/>
        </w:rPr>
      </w:pPr>
    </w:p>
    <w:p w14:paraId="213124AB">
      <w:pPr>
        <w:spacing w:line="560" w:lineRule="exact"/>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eastAsia="zh-CN"/>
        </w:rPr>
        <w:t>2024</w:t>
      </w:r>
      <w:r>
        <w:rPr>
          <w:rFonts w:hint="eastAsia" w:ascii="黑体" w:hAnsi="黑体" w:eastAsia="黑体"/>
          <w:sz w:val="32"/>
          <w:szCs w:val="32"/>
        </w:rPr>
        <w:t>年度部门决算报表</w:t>
      </w:r>
    </w:p>
    <w:p w14:paraId="188183A3">
      <w:pPr>
        <w:spacing w:line="560" w:lineRule="exact"/>
        <w:ind w:firstLine="640"/>
        <w:rPr>
          <w:rFonts w:hint="eastAsia" w:eastAsia="仿宋_GB2312"/>
          <w:lang w:eastAsia="zh-CN"/>
        </w:rPr>
      </w:pPr>
      <w:r>
        <w:rPr>
          <w:rFonts w:hint="eastAsia" w:ascii="仿宋_GB2312" w:hAnsi="黑体" w:eastAsia="仿宋_GB2312"/>
          <w:sz w:val="32"/>
          <w:szCs w:val="32"/>
        </w:rPr>
        <w:t>《收入决算表》《支出决算表》《一般公共预算财政拨款支出决算表</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》细化公开到支出功能分类项级科目，《一般公共预算财政拨款基本支出决算表》细化公开到经济分类款级科目</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w:t>
      </w:r>
    </w:p>
    <w:p w14:paraId="5BAE8DF3">
      <w:pPr>
        <w:spacing w:line="560" w:lineRule="exact"/>
        <w:ind w:firstLine="640" w:firstLineChars="200"/>
        <w:rPr>
          <w:rFonts w:hint="eastAsia" w:ascii="黑体" w:hAnsi="黑体" w:eastAsia="黑体"/>
          <w:sz w:val="32"/>
          <w:szCs w:val="32"/>
        </w:rPr>
      </w:pPr>
    </w:p>
    <w:p w14:paraId="7BD1AB52">
      <w:pPr>
        <w:spacing w:line="560" w:lineRule="exact"/>
        <w:jc w:val="center"/>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2024</w:t>
      </w:r>
      <w:r>
        <w:rPr>
          <w:rFonts w:hint="eastAsia" w:ascii="黑体" w:hAnsi="黑体" w:eastAsia="黑体"/>
          <w:sz w:val="32"/>
          <w:szCs w:val="32"/>
        </w:rPr>
        <w:t>年度部门决算情况说明</w:t>
      </w:r>
    </w:p>
    <w:p w14:paraId="4D90772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一、收入支出决算总体情况</w:t>
      </w:r>
    </w:p>
    <w:p w14:paraId="43F001C7">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2024</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56786.91</w:t>
      </w:r>
      <w:r>
        <w:rPr>
          <w:rFonts w:hint="eastAsia" w:ascii="仿宋_GB2312" w:eastAsia="仿宋_GB2312" w:cs="仿宋_GB2312"/>
          <w:kern w:val="0"/>
          <w:sz w:val="32"/>
          <w:szCs w:val="32"/>
        </w:rPr>
        <w:t>万元，其中本年收入50642.47万元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2830.97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5.29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0460E2C8">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.一般公共预算财政拨款收入22614.24万元，为自治区本级财政当年拨付的资金。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1218.65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5.7</w:t>
      </w:r>
      <w:r>
        <w:rPr>
          <w:rFonts w:hint="eastAsia" w:ascii="仿宋_GB2312" w:hAnsi="黑体" w:eastAsia="仿宋_GB2312" w:cs="仿宋_GB2312"/>
          <w:kern w:val="0"/>
          <w:sz w:val="32"/>
          <w:szCs w:val="32"/>
        </w:rPr>
        <w:t>%，主要原因是</w:t>
      </w:r>
      <w:r>
        <w:rPr>
          <w:rFonts w:hint="eastAsia" w:ascii="仿宋_GB2312" w:hAnsi="仿宋_GB2312" w:eastAsia="仿宋_GB2312" w:cs="仿宋_GB2312"/>
          <w:i w:val="0"/>
          <w:iCs w:val="0"/>
          <w:caps w:val="0"/>
          <w:color w:val="161A23"/>
          <w:spacing w:val="0"/>
          <w:sz w:val="32"/>
          <w:szCs w:val="32"/>
          <w:shd w:val="clear" w:color="auto" w:fill="FFFFFF"/>
        </w:rPr>
        <w:t>教育领域基础能力提升专项资金（一般债券）</w:t>
      </w:r>
      <w:r>
        <w:rPr>
          <w:rFonts w:hint="eastAsia" w:ascii="仿宋_GB2312" w:hAnsi="仿宋_GB2312" w:eastAsia="仿宋_GB2312" w:cs="仿宋_GB2312"/>
          <w:sz w:val="32"/>
          <w:szCs w:val="32"/>
          <w:highlight w:val="none"/>
          <w:lang w:val="en-US" w:eastAsia="zh-CN" w:bidi="ar"/>
        </w:rPr>
        <w:t>增加</w:t>
      </w:r>
      <w:r>
        <w:rPr>
          <w:rFonts w:hint="eastAsia" w:ascii="仿宋_GB2312" w:hAnsi="仿宋_GB2312" w:eastAsia="仿宋_GB2312" w:cs="仿宋_GB2312"/>
          <w:i w:val="0"/>
          <w:iCs w:val="0"/>
          <w:caps w:val="0"/>
          <w:color w:val="161A23"/>
          <w:spacing w:val="0"/>
          <w:sz w:val="32"/>
          <w:szCs w:val="32"/>
          <w:shd w:val="clear" w:color="auto" w:fill="FFFFFF"/>
          <w:lang w:val="en-US" w:eastAsia="zh-CN"/>
        </w:rPr>
        <w:t>700万元，中央生均拨款增加370万元</w:t>
      </w:r>
      <w:r>
        <w:rPr>
          <w:rFonts w:hint="eastAsia" w:ascii="仿宋_GB2312" w:hAnsi="黑体" w:eastAsia="仿宋_GB2312" w:cs="仿宋_GB2312"/>
          <w:kern w:val="0"/>
          <w:sz w:val="32"/>
          <w:szCs w:val="32"/>
        </w:rPr>
        <w:t>。</w:t>
      </w:r>
    </w:p>
    <w:p w14:paraId="7E04C3B8">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2.事业收入13414.48万元，为事业单位开展业务活动取得的收入。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813.54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6.46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教育事业收入增加</w:t>
      </w:r>
      <w:r>
        <w:rPr>
          <w:rFonts w:hint="eastAsia" w:ascii="仿宋_GB2312" w:hAnsi="黑体" w:eastAsia="仿宋_GB2312" w:cs="仿宋_GB2312"/>
          <w:color w:val="auto"/>
          <w:kern w:val="0"/>
          <w:sz w:val="32"/>
          <w:szCs w:val="32"/>
          <w:lang w:val="en-US" w:eastAsia="zh-CN"/>
        </w:rPr>
        <w:t>1038.74</w:t>
      </w:r>
      <w:r>
        <w:rPr>
          <w:rFonts w:hint="eastAsia" w:ascii="仿宋_GB2312" w:hAnsi="黑体" w:eastAsia="仿宋_GB2312" w:cs="仿宋_GB2312"/>
          <w:kern w:val="0"/>
          <w:sz w:val="32"/>
          <w:szCs w:val="32"/>
          <w:lang w:val="en-US" w:eastAsia="zh-CN"/>
        </w:rPr>
        <w:t>万元，科研事业收入减少224.90万元</w:t>
      </w:r>
      <w:r>
        <w:rPr>
          <w:rFonts w:hint="eastAsia" w:ascii="仿宋_GB2312" w:eastAsia="仿宋_GB2312" w:cs="仿宋_GB2312"/>
          <w:kern w:val="0"/>
          <w:sz w:val="32"/>
          <w:szCs w:val="32"/>
        </w:rPr>
        <w:t>。</w:t>
      </w:r>
    </w:p>
    <w:p w14:paraId="7489761B">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.其他收入14613.75万元，为预算单位在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4863.16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24.79</w:t>
      </w:r>
      <w:r>
        <w:rPr>
          <w:rFonts w:hint="eastAsia" w:ascii="仿宋_GB2312" w:hAnsi="黑体" w:eastAsia="仿宋_GB2312" w:cs="仿宋_GB2312"/>
          <w:kern w:val="0"/>
          <w:sz w:val="32"/>
          <w:szCs w:val="32"/>
        </w:rPr>
        <w:t>%，</w:t>
      </w:r>
      <w:r>
        <w:rPr>
          <w:rFonts w:hint="eastAsia" w:ascii="仿宋_GB2312" w:hAnsi="仿宋_GB2312" w:eastAsia="仿宋_GB2312" w:cs="仿宋_GB2312"/>
          <w:sz w:val="32"/>
          <w:szCs w:val="32"/>
          <w:highlight w:val="none"/>
          <w:lang w:val="en-US" w:eastAsia="zh-CN" w:bidi="ar"/>
        </w:rPr>
        <w:t>主要变动原因为债务预算收入减少</w:t>
      </w:r>
      <w:r>
        <w:rPr>
          <w:rFonts w:hint="eastAsia" w:ascii="仿宋_GB2312" w:hAnsi="仿宋_GB2312" w:eastAsia="仿宋_GB2312" w:cs="仿宋_GB2312"/>
          <w:i w:val="0"/>
          <w:iCs w:val="0"/>
          <w:caps w:val="0"/>
          <w:color w:val="161A23"/>
          <w:spacing w:val="0"/>
          <w:sz w:val="32"/>
          <w:szCs w:val="32"/>
          <w:shd w:val="clear" w:color="auto" w:fill="FFFFFF"/>
        </w:rPr>
        <w:t>4</w:t>
      </w:r>
      <w:r>
        <w:rPr>
          <w:rFonts w:hint="eastAsia" w:ascii="仿宋_GB2312" w:hAnsi="仿宋_GB2312" w:eastAsia="仿宋_GB2312" w:cs="仿宋_GB2312"/>
          <w:i w:val="0"/>
          <w:iCs w:val="0"/>
          <w:caps w:val="0"/>
          <w:color w:val="161A23"/>
          <w:spacing w:val="0"/>
          <w:sz w:val="32"/>
          <w:szCs w:val="32"/>
          <w:shd w:val="clear" w:color="auto" w:fill="FFFFFF"/>
          <w:lang w:val="en-US" w:eastAsia="zh-CN"/>
        </w:rPr>
        <w:t>,</w:t>
      </w:r>
      <w:r>
        <w:rPr>
          <w:rFonts w:hint="eastAsia" w:ascii="仿宋_GB2312" w:hAnsi="仿宋_GB2312" w:eastAsia="仿宋_GB2312" w:cs="仿宋_GB2312"/>
          <w:i w:val="0"/>
          <w:iCs w:val="0"/>
          <w:caps w:val="0"/>
          <w:color w:val="161A23"/>
          <w:spacing w:val="0"/>
          <w:sz w:val="32"/>
          <w:szCs w:val="32"/>
          <w:shd w:val="clear" w:color="auto" w:fill="FFFFFF"/>
        </w:rPr>
        <w:t>180.53万元</w:t>
      </w:r>
      <w:r>
        <w:rPr>
          <w:rFonts w:hint="eastAsia" w:ascii="仿宋_GB2312" w:hAnsi="仿宋_GB2312" w:eastAsia="仿宋_GB2312" w:cs="仿宋_GB2312"/>
          <w:i w:val="0"/>
          <w:iCs w:val="0"/>
          <w:caps w:val="0"/>
          <w:color w:val="161A23"/>
          <w:spacing w:val="0"/>
          <w:sz w:val="32"/>
          <w:szCs w:val="32"/>
          <w:shd w:val="clear" w:color="auto" w:fill="FFFFFF"/>
          <w:lang w:eastAsia="zh-CN"/>
        </w:rPr>
        <w:t>，梧州市财政拨款</w:t>
      </w:r>
      <w:r>
        <w:rPr>
          <w:rFonts w:hint="eastAsia" w:ascii="仿宋_GB2312" w:hAnsi="仿宋_GB2312" w:eastAsia="仿宋_GB2312" w:cs="仿宋_GB2312"/>
          <w:i w:val="0"/>
          <w:iCs w:val="0"/>
          <w:caps w:val="0"/>
          <w:color w:val="161A23"/>
          <w:spacing w:val="0"/>
          <w:sz w:val="32"/>
          <w:szCs w:val="32"/>
          <w:shd w:val="clear" w:color="auto" w:fill="FFFFFF"/>
          <w:lang w:val="en-US" w:eastAsia="zh-CN"/>
        </w:rPr>
        <w:t>减少</w:t>
      </w:r>
      <w:r>
        <w:rPr>
          <w:rFonts w:hint="eastAsia" w:ascii="仿宋_GB2312" w:hAnsi="仿宋_GB2312" w:eastAsia="仿宋_GB2312" w:cs="仿宋_GB2312"/>
          <w:i w:val="0"/>
          <w:iCs w:val="0"/>
          <w:caps w:val="0"/>
          <w:color w:val="161A23"/>
          <w:spacing w:val="0"/>
          <w:sz w:val="32"/>
          <w:szCs w:val="32"/>
          <w:shd w:val="clear" w:color="auto" w:fill="FFFFFF"/>
          <w:lang w:eastAsia="zh-CN"/>
        </w:rPr>
        <w:t>973.65</w:t>
      </w:r>
      <w:r>
        <w:rPr>
          <w:rFonts w:hint="eastAsia" w:ascii="仿宋_GB2312" w:hAnsi="仿宋_GB2312" w:eastAsia="仿宋_GB2312" w:cs="仿宋_GB2312"/>
          <w:i w:val="0"/>
          <w:iCs w:val="0"/>
          <w:caps w:val="0"/>
          <w:color w:val="161A23"/>
          <w:spacing w:val="0"/>
          <w:sz w:val="32"/>
          <w:szCs w:val="32"/>
          <w:shd w:val="clear" w:color="auto" w:fill="FFFFFF"/>
          <w:lang w:val="en-US" w:eastAsia="zh-CN"/>
        </w:rPr>
        <w:t>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其他收入增加291.02万元。</w:t>
      </w:r>
    </w:p>
    <w:p w14:paraId="771556ED">
      <w:pPr>
        <w:autoSpaceDE w:val="0"/>
        <w:autoSpaceDN w:val="0"/>
        <w:adjustRightInd w:val="0"/>
        <w:spacing w:line="560" w:lineRule="exact"/>
        <w:ind w:firstLine="627" w:firstLineChars="196"/>
        <w:jc w:val="both"/>
        <w:rPr>
          <w:rFonts w:hint="eastAsia" w:ascii="仿宋_GB2312" w:eastAsia="仿宋_GB2312" w:cs="仿宋_GB2312"/>
          <w:color w:val="auto"/>
          <w:kern w:val="0"/>
          <w:sz w:val="32"/>
          <w:szCs w:val="32"/>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上年结转和结余6144.44万元，为以前年度支出预算因客观条件变化未执行完毕、结转到本年度按有关规定继续使用的资金。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3949.18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179.9</w:t>
      </w:r>
      <w:r>
        <w:rPr>
          <w:rFonts w:hint="eastAsia" w:ascii="仿宋_GB2312" w:hAnsi="黑体" w:eastAsia="仿宋_GB2312" w:cs="仿宋_GB2312"/>
          <w:kern w:val="0"/>
          <w:sz w:val="32"/>
          <w:szCs w:val="32"/>
        </w:rPr>
        <w:t>%，主要原因是桂教办〔2024〕1450号收回以前年度广西政府东盟国家留学生奖学金项目16.55万元，特色本科高校建设及高校教学质量与改革工程项目20.90万元，退回财政指标31.3万元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增加广西高校国家助学贷款风险补偿金和财政贴息1854.23元。</w:t>
      </w:r>
      <w:r>
        <w:rPr>
          <w:rFonts w:hint="eastAsia" w:ascii="仿宋_GB2312" w:hAnsi="黑体" w:eastAsia="仿宋_GB2312" w:cs="仿宋_GB2312"/>
          <w:color w:val="auto"/>
          <w:kern w:val="0"/>
          <w:sz w:val="32"/>
          <w:szCs w:val="32"/>
          <w:lang w:val="en-US" w:eastAsia="zh-CN"/>
        </w:rPr>
        <w:t>增加</w:t>
      </w:r>
      <w:r>
        <w:rPr>
          <w:rFonts w:hint="eastAsia" w:ascii="仿宋_GB2312" w:hAnsi="黑体" w:eastAsia="仿宋_GB2312" w:cs="仿宋_GB2312"/>
          <w:color w:val="auto"/>
          <w:kern w:val="0"/>
          <w:sz w:val="32"/>
          <w:szCs w:val="32"/>
        </w:rPr>
        <w:t>确认以前年度待确认收入</w:t>
      </w:r>
      <w:r>
        <w:rPr>
          <w:rFonts w:hint="eastAsia" w:ascii="仿宋_GB2312" w:hAnsi="黑体" w:eastAsia="仿宋_GB2312" w:cs="仿宋_GB2312"/>
          <w:color w:val="auto"/>
          <w:kern w:val="0"/>
          <w:sz w:val="32"/>
          <w:szCs w:val="32"/>
          <w:lang w:val="en-US" w:eastAsia="zh-CN"/>
        </w:rPr>
        <w:t>2163.7</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w:t>
      </w:r>
    </w:p>
    <w:p w14:paraId="492FBC30">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2024</w:t>
      </w:r>
      <w:r>
        <w:rPr>
          <w:rFonts w:hint="eastAsia" w:ascii="仿宋_GB2312" w:eastAsia="仿宋_GB2312" w:cs="仿宋_GB2312"/>
          <w:kern w:val="0"/>
          <w:sz w:val="32"/>
          <w:szCs w:val="32"/>
        </w:rPr>
        <w:t>年度总支出56786.91万元，其中本年支出55632.42万元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2726.56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5.15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4D84676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default" w:ascii="仿宋" w:hAnsi="仿宋" w:eastAsia="仿宋" w:cs="仿宋"/>
          <w:kern w:val="0"/>
          <w:sz w:val="32"/>
          <w:szCs w:val="32"/>
          <w:lang w:val="en-US"/>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 w:hAnsi="仿宋" w:eastAsia="仿宋" w:cs="仿宋"/>
          <w:kern w:val="0"/>
          <w:sz w:val="32"/>
          <w:szCs w:val="32"/>
        </w:rPr>
        <w:t>教育支出（类）53874.57万元：主要用于</w:t>
      </w:r>
      <w:r>
        <w:rPr>
          <w:rFonts w:hint="eastAsia" w:ascii="仿宋" w:hAnsi="仿宋" w:eastAsia="仿宋" w:cs="仿宋"/>
          <w:bCs/>
          <w:kern w:val="0"/>
          <w:sz w:val="32"/>
          <w:szCs w:val="32"/>
        </w:rPr>
        <w:t>按国家规定的工资支出、学校公用经费支出、学生和教学支出，</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2708.28</w:t>
      </w:r>
      <w:r>
        <w:rPr>
          <w:rFonts w:hint="eastAsia" w:ascii="仿宋" w:hAnsi="仿宋" w:eastAsia="仿宋" w:cs="仿宋"/>
          <w:kern w:val="0"/>
          <w:sz w:val="32"/>
          <w:szCs w:val="32"/>
        </w:rPr>
        <w:t>万元，增长</w:t>
      </w:r>
      <w:r>
        <w:rPr>
          <w:rFonts w:hint="eastAsia" w:ascii="仿宋" w:hAnsi="仿宋" w:eastAsia="仿宋" w:cs="仿宋"/>
          <w:color w:val="auto"/>
          <w:kern w:val="0"/>
          <w:sz w:val="32"/>
          <w:szCs w:val="32"/>
          <w:lang w:val="en-US" w:eastAsia="zh-CN"/>
        </w:rPr>
        <w:t>5.29</w:t>
      </w:r>
      <w:r>
        <w:rPr>
          <w:rFonts w:hint="eastAsia" w:ascii="仿宋" w:hAnsi="仿宋" w:eastAsia="仿宋" w:cs="仿宋"/>
          <w:kern w:val="0"/>
          <w:sz w:val="32"/>
          <w:szCs w:val="32"/>
        </w:rPr>
        <w:t>%，</w:t>
      </w:r>
      <w:r>
        <w:rPr>
          <w:rFonts w:hint="eastAsia" w:ascii="仿宋_GB2312" w:hAnsi="仿宋_GB2312" w:eastAsia="仿宋_GB2312" w:cs="仿宋_GB2312"/>
          <w:sz w:val="32"/>
          <w:szCs w:val="32"/>
          <w:highlight w:val="none"/>
          <w:lang w:val="en-US" w:eastAsia="zh-CN" w:bidi="ar"/>
        </w:rPr>
        <w:t>其中工资福利支出减少601.69万元；商品与福利支出减少973.08万元；对个人及家庭的补助增加327.32万元；债务利息及费用支出增加270.32万元；资本性支出增加12,207.88万元，主要原因为本年还本支出调整到资本性支出的其他资本性支出列示，金额为12,444.07；其他支出减少8,522.49万元。</w:t>
      </w:r>
    </w:p>
    <w:p w14:paraId="09C96B9F">
      <w:pPr>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2.社会保障和就业支出（类）</w:t>
      </w:r>
      <w:r>
        <w:rPr>
          <w:rFonts w:hint="eastAsia" w:ascii="仿宋" w:hAnsi="仿宋" w:eastAsia="仿宋" w:cs="仿宋"/>
          <w:kern w:val="0"/>
          <w:sz w:val="32"/>
          <w:szCs w:val="32"/>
          <w:lang w:val="en-US" w:eastAsia="zh-CN"/>
        </w:rPr>
        <w:t>971.34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主要用于</w:t>
      </w:r>
      <w:r>
        <w:rPr>
          <w:rFonts w:hint="eastAsia" w:ascii="仿宋" w:hAnsi="仿宋" w:eastAsia="仿宋" w:cs="仿宋"/>
          <w:bCs/>
          <w:kern w:val="0"/>
          <w:sz w:val="32"/>
          <w:szCs w:val="32"/>
        </w:rPr>
        <w:t>本级</w:t>
      </w:r>
      <w:r>
        <w:rPr>
          <w:rFonts w:hint="eastAsia" w:ascii="仿宋" w:hAnsi="仿宋" w:eastAsia="仿宋" w:cs="仿宋"/>
          <w:kern w:val="0"/>
          <w:sz w:val="32"/>
          <w:szCs w:val="32"/>
        </w:rPr>
        <w:t>按国家规定发放的在职人员养老保险支出。较202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增加33.41</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增长3.56</w:t>
      </w:r>
      <w:r>
        <w:rPr>
          <w:rFonts w:hint="eastAsia" w:ascii="仿宋" w:hAnsi="仿宋" w:eastAsia="仿宋" w:cs="仿宋"/>
          <w:kern w:val="0"/>
          <w:sz w:val="32"/>
          <w:szCs w:val="32"/>
        </w:rPr>
        <w:t>%，主要原因是人员增减变动及国家政策</w:t>
      </w:r>
      <w:r>
        <w:rPr>
          <w:rFonts w:hint="eastAsia" w:ascii="仿宋" w:hAnsi="仿宋" w:eastAsia="仿宋" w:cs="仿宋"/>
          <w:kern w:val="0"/>
          <w:sz w:val="32"/>
          <w:szCs w:val="32"/>
          <w:lang w:val="en-US" w:eastAsia="zh-CN"/>
        </w:rPr>
        <w:t>导致</w:t>
      </w:r>
      <w:r>
        <w:rPr>
          <w:rFonts w:hint="eastAsia" w:ascii="仿宋" w:hAnsi="仿宋" w:eastAsia="仿宋" w:cs="仿宋"/>
          <w:kern w:val="0"/>
          <w:sz w:val="32"/>
          <w:szCs w:val="32"/>
        </w:rPr>
        <w:t>养老保险</w:t>
      </w:r>
      <w:r>
        <w:rPr>
          <w:rFonts w:hint="eastAsia" w:ascii="仿宋" w:hAnsi="仿宋" w:eastAsia="仿宋" w:cs="仿宋"/>
          <w:kern w:val="0"/>
          <w:sz w:val="32"/>
          <w:szCs w:val="32"/>
          <w:lang w:val="en-US" w:eastAsia="zh-CN"/>
        </w:rPr>
        <w:t>调整</w:t>
      </w:r>
      <w:r>
        <w:rPr>
          <w:rFonts w:hint="eastAsia" w:ascii="仿宋" w:hAnsi="仿宋" w:eastAsia="仿宋" w:cs="仿宋"/>
          <w:kern w:val="0"/>
          <w:sz w:val="32"/>
          <w:szCs w:val="32"/>
        </w:rPr>
        <w:t>。</w:t>
      </w:r>
    </w:p>
    <w:p w14:paraId="50471E20">
      <w:pPr>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.卫生健康支出（类）</w:t>
      </w:r>
      <w:r>
        <w:rPr>
          <w:rFonts w:hint="eastAsia" w:ascii="仿宋" w:hAnsi="仿宋" w:eastAsia="仿宋" w:cs="仿宋"/>
          <w:kern w:val="0"/>
          <w:sz w:val="32"/>
          <w:szCs w:val="32"/>
          <w:lang w:val="en-US" w:eastAsia="zh-CN"/>
        </w:rPr>
        <w:t>323.99</w:t>
      </w:r>
      <w:r>
        <w:rPr>
          <w:rFonts w:hint="eastAsia" w:ascii="仿宋" w:hAnsi="仿宋" w:eastAsia="仿宋" w:cs="仿宋"/>
          <w:kern w:val="0"/>
          <w:sz w:val="32"/>
          <w:szCs w:val="32"/>
        </w:rPr>
        <w:t>万元：主要用于</w:t>
      </w:r>
      <w:r>
        <w:rPr>
          <w:rFonts w:hint="eastAsia" w:ascii="仿宋" w:hAnsi="仿宋" w:eastAsia="仿宋" w:cs="仿宋"/>
          <w:bCs/>
          <w:kern w:val="0"/>
          <w:sz w:val="32"/>
          <w:szCs w:val="32"/>
        </w:rPr>
        <w:t>缴纳单位医疗保险。</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减少13.07</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下降3.88</w:t>
      </w:r>
      <w:r>
        <w:rPr>
          <w:rFonts w:hint="eastAsia" w:ascii="仿宋" w:hAnsi="仿宋" w:eastAsia="仿宋" w:cs="仿宋"/>
          <w:kern w:val="0"/>
          <w:sz w:val="32"/>
          <w:szCs w:val="32"/>
        </w:rPr>
        <w:t>%，主要原因是人员增减变动及国家政策调整医疗保险</w:t>
      </w:r>
      <w:r>
        <w:rPr>
          <w:rFonts w:hint="eastAsia" w:ascii="仿宋" w:hAnsi="仿宋" w:eastAsia="仿宋" w:cs="仿宋"/>
          <w:color w:val="000000"/>
          <w:kern w:val="0"/>
          <w:sz w:val="32"/>
          <w:szCs w:val="32"/>
        </w:rPr>
        <w:t>缴费基数。</w:t>
      </w:r>
    </w:p>
    <w:p w14:paraId="4405BF22">
      <w:pPr>
        <w:keepNext w:val="0"/>
        <w:keepLines w:val="0"/>
        <w:pageBreakBefore w:val="0"/>
        <w:widowControl w:val="0"/>
        <w:kinsoku/>
        <w:wordWrap/>
        <w:overflowPunct/>
        <w:topLinePunct w:val="0"/>
        <w:autoSpaceDE w:val="0"/>
        <w:autoSpaceDN w:val="0"/>
        <w:bidi w:val="0"/>
        <w:adjustRightInd w:val="0"/>
        <w:snapToGrid/>
        <w:spacing w:line="560" w:lineRule="exact"/>
        <w:ind w:firstLine="627"/>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.住房保障支出（类）</w:t>
      </w:r>
      <w:r>
        <w:rPr>
          <w:rFonts w:hint="eastAsia" w:ascii="仿宋" w:hAnsi="仿宋" w:eastAsia="仿宋" w:cs="仿宋"/>
          <w:kern w:val="0"/>
          <w:sz w:val="32"/>
          <w:szCs w:val="32"/>
          <w:lang w:val="en-US" w:eastAsia="zh-CN"/>
        </w:rPr>
        <w:t>462.53</w:t>
      </w:r>
      <w:r>
        <w:rPr>
          <w:rFonts w:hint="eastAsia" w:ascii="仿宋" w:hAnsi="仿宋" w:eastAsia="仿宋" w:cs="仿宋"/>
          <w:kern w:val="0"/>
          <w:sz w:val="32"/>
          <w:szCs w:val="32"/>
        </w:rPr>
        <w:t>万元：主要用于</w:t>
      </w:r>
      <w:r>
        <w:rPr>
          <w:rFonts w:hint="eastAsia" w:ascii="仿宋" w:hAnsi="仿宋" w:eastAsia="仿宋" w:cs="仿宋"/>
          <w:bCs/>
          <w:kern w:val="0"/>
          <w:sz w:val="32"/>
          <w:szCs w:val="32"/>
        </w:rPr>
        <w:t>按照国家政策</w:t>
      </w:r>
      <w:r>
        <w:rPr>
          <w:rFonts w:hint="eastAsia" w:ascii="仿宋" w:hAnsi="仿宋" w:eastAsia="仿宋" w:cs="仿宋"/>
          <w:kern w:val="0"/>
          <w:sz w:val="32"/>
          <w:szCs w:val="32"/>
        </w:rPr>
        <w:t>规定向职工发放的住房公积金、提租补贴、购房补贴等住房改革方面的支出。较202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减少2.05</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下降0.44</w:t>
      </w:r>
      <w:r>
        <w:rPr>
          <w:rFonts w:hint="eastAsia" w:ascii="仿宋" w:hAnsi="仿宋" w:eastAsia="仿宋" w:cs="仿宋"/>
          <w:kern w:val="0"/>
          <w:sz w:val="32"/>
          <w:szCs w:val="32"/>
        </w:rPr>
        <w:t>%，主要原因是根据国家政策调整住房公积金</w:t>
      </w:r>
      <w:r>
        <w:rPr>
          <w:rFonts w:hint="eastAsia" w:ascii="仿宋" w:hAnsi="仿宋" w:eastAsia="仿宋" w:cs="仿宋"/>
          <w:color w:val="000000"/>
          <w:kern w:val="0"/>
          <w:sz w:val="32"/>
          <w:szCs w:val="32"/>
        </w:rPr>
        <w:t>缴费基数。</w:t>
      </w:r>
    </w:p>
    <w:p w14:paraId="04D53410">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减少96.59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此科目2024年不再列示学生助困金余额</w:t>
      </w:r>
      <w:r>
        <w:rPr>
          <w:rFonts w:hint="eastAsia" w:ascii="仿宋_GB2312" w:hAnsi="黑体" w:eastAsia="仿宋_GB2312" w:cs="仿宋_GB2312"/>
          <w:kern w:val="0"/>
          <w:sz w:val="32"/>
          <w:szCs w:val="32"/>
        </w:rPr>
        <w:t>。</w:t>
      </w:r>
    </w:p>
    <w:p w14:paraId="7ABA2A5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1154.49</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减少1511.76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下降56.7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财政拨款结转增加46.93万元，非财政拨款结转减少</w:t>
      </w:r>
      <w:r>
        <w:rPr>
          <w:rFonts w:hint="eastAsia" w:ascii="仿宋_GB2312" w:hAnsi="黑体" w:eastAsia="仿宋_GB2312" w:cs="仿宋_GB2312"/>
          <w:color w:val="auto"/>
          <w:kern w:val="0"/>
          <w:sz w:val="32"/>
          <w:szCs w:val="32"/>
          <w:lang w:val="en-US" w:eastAsia="zh-CN"/>
        </w:rPr>
        <w:t>1558.69</w:t>
      </w:r>
      <w:r>
        <w:rPr>
          <w:rFonts w:hint="eastAsia" w:ascii="仿宋_GB2312" w:hAnsi="黑体" w:eastAsia="仿宋_GB2312" w:cs="仿宋_GB2312"/>
          <w:kern w:val="0"/>
          <w:sz w:val="32"/>
          <w:szCs w:val="32"/>
          <w:lang w:val="en-US" w:eastAsia="zh-CN"/>
        </w:rPr>
        <w:t>万元</w:t>
      </w:r>
      <w:r>
        <w:rPr>
          <w:rFonts w:hint="eastAsia" w:ascii="仿宋_GB2312" w:hAnsi="黑体" w:eastAsia="仿宋_GB2312" w:cs="仿宋_GB2312"/>
          <w:kern w:val="0"/>
          <w:sz w:val="32"/>
          <w:szCs w:val="32"/>
        </w:rPr>
        <w:t>。</w:t>
      </w:r>
    </w:p>
    <w:p w14:paraId="4876206C">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2875585E">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 22498.76万元，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2023</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755.97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其中：基本支出11344.83万元，项目支出11153.93万元。</w:t>
      </w:r>
    </w:p>
    <w:p w14:paraId="1C8F2968">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kern w:val="0"/>
          <w:sz w:val="32"/>
          <w:szCs w:val="32"/>
          <w:lang w:eastAsia="zh-CN"/>
        </w:rPr>
        <w:t>2024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20549.52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支出决算为</w:t>
      </w:r>
      <w:r>
        <w:rPr>
          <w:rFonts w:hint="eastAsia" w:ascii="仿宋_GB2312" w:eastAsia="仿宋_GB2312" w:cs="仿宋_GB2312"/>
          <w:kern w:val="0"/>
          <w:sz w:val="32"/>
          <w:szCs w:val="32"/>
        </w:rPr>
        <w:t>22498.76</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109.49</w:t>
      </w:r>
      <w:r>
        <w:rPr>
          <w:rFonts w:hint="eastAsia" w:ascii="仿宋_GB2312" w:hAnsi="黑体" w:eastAsia="仿宋_GB2312" w:cs="仿宋_GB2312"/>
          <w:kern w:val="0"/>
          <w:sz w:val="32"/>
          <w:szCs w:val="32"/>
        </w:rPr>
        <w:t>%。</w:t>
      </w:r>
    </w:p>
    <w:p w14:paraId="708F9C5D">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bCs/>
          <w:color w:val="FF0000"/>
          <w:kern w:val="0"/>
          <w:sz w:val="32"/>
          <w:szCs w:val="32"/>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w:t>
      </w:r>
      <w:r>
        <w:rPr>
          <w:rFonts w:hint="eastAsia" w:ascii="仿宋_GB2312" w:hAnsi="黑体" w:eastAsia="仿宋_GB2312" w:cs="仿宋_GB2312"/>
          <w:kern w:val="0"/>
          <w:sz w:val="32"/>
          <w:szCs w:val="32"/>
          <w:lang w:eastAsia="zh-CN"/>
        </w:rPr>
        <w:t>）</w:t>
      </w:r>
      <w:r>
        <w:rPr>
          <w:rFonts w:hint="eastAsia" w:ascii="仿宋" w:hAnsi="仿宋" w:eastAsia="仿宋" w:cs="仿宋_GB2312"/>
          <w:color w:val="000000"/>
          <w:kern w:val="0"/>
          <w:sz w:val="32"/>
          <w:szCs w:val="32"/>
        </w:rPr>
        <w:t>教育支出年初预算为</w:t>
      </w:r>
      <w:r>
        <w:rPr>
          <w:rFonts w:hint="eastAsia" w:ascii="仿宋" w:hAnsi="仿宋" w:eastAsia="仿宋" w:cs="仿宋_GB2312"/>
          <w:color w:val="000000"/>
          <w:kern w:val="0"/>
          <w:sz w:val="32"/>
          <w:szCs w:val="32"/>
          <w:lang w:val="en-US" w:eastAsia="zh-CN"/>
        </w:rPr>
        <w:t>19053.5</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支</w:t>
      </w:r>
      <w:r>
        <w:rPr>
          <w:rFonts w:hint="eastAsia" w:ascii="仿宋" w:hAnsi="仿宋" w:eastAsia="仿宋" w:cs="仿宋_GB2312"/>
          <w:kern w:val="0"/>
          <w:sz w:val="32"/>
          <w:szCs w:val="32"/>
        </w:rPr>
        <w:t>出决算为</w:t>
      </w:r>
      <w:r>
        <w:rPr>
          <w:rFonts w:hint="eastAsia" w:ascii="仿宋" w:hAnsi="仿宋" w:eastAsia="仿宋" w:cs="仿宋_GB2312"/>
          <w:kern w:val="0"/>
          <w:sz w:val="32"/>
          <w:szCs w:val="32"/>
          <w:lang w:val="en-US" w:eastAsia="zh-CN"/>
        </w:rPr>
        <w:t>21059.99</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eastAsia="zh-CN"/>
        </w:rPr>
        <w:t>，</w:t>
      </w:r>
      <w:r>
        <w:rPr>
          <w:rFonts w:hint="eastAsia" w:ascii="仿宋_GB2312" w:hAnsi="黑体" w:eastAsia="仿宋_GB2312" w:cs="仿宋_GB2312"/>
          <w:kern w:val="0"/>
          <w:sz w:val="32"/>
          <w:szCs w:val="32"/>
          <w:lang w:val="en-US" w:eastAsia="zh-CN"/>
        </w:rPr>
        <w:t>比</w:t>
      </w:r>
      <w:r>
        <w:rPr>
          <w:rFonts w:hint="eastAsia" w:ascii="仿宋_GB2312" w:hAnsi="黑体" w:eastAsia="仿宋_GB2312" w:cs="仿宋_GB2312"/>
          <w:kern w:val="0"/>
          <w:sz w:val="32"/>
          <w:szCs w:val="32"/>
        </w:rPr>
        <w:t>年初预算</w:t>
      </w:r>
      <w:r>
        <w:rPr>
          <w:rFonts w:hint="eastAsia" w:ascii="仿宋_GB2312" w:hAnsi="仿宋_GB2312" w:eastAsia="仿宋_GB2312" w:cs="仿宋_GB2312"/>
          <w:b w:val="0"/>
          <w:bCs w:val="0"/>
          <w:color w:val="auto"/>
          <w:kern w:val="0"/>
          <w:sz w:val="32"/>
          <w:szCs w:val="32"/>
          <w:lang w:val="en-US" w:eastAsia="zh-CN"/>
        </w:rPr>
        <w:t>增长</w:t>
      </w:r>
      <w:r>
        <w:rPr>
          <w:rFonts w:hint="eastAsia" w:ascii="仿宋" w:hAnsi="仿宋" w:eastAsia="仿宋" w:cs="仿宋"/>
          <w:kern w:val="0"/>
          <w:sz w:val="32"/>
          <w:szCs w:val="32"/>
          <w:lang w:val="en-US" w:eastAsia="zh-CN"/>
        </w:rPr>
        <w:t>增加2006.49万元，</w:t>
      </w:r>
      <w:r>
        <w:rPr>
          <w:rFonts w:hint="eastAsia" w:ascii="仿宋_GB2312" w:hAnsi="仿宋_GB2312" w:eastAsia="仿宋_GB2312" w:cs="仿宋_GB2312"/>
          <w:b w:val="0"/>
          <w:bCs w:val="0"/>
          <w:color w:val="auto"/>
          <w:kern w:val="0"/>
          <w:sz w:val="32"/>
          <w:szCs w:val="32"/>
          <w:lang w:val="en-US" w:eastAsia="zh-CN"/>
        </w:rPr>
        <w:t>增长10.53%</w:t>
      </w:r>
      <w:r>
        <w:rPr>
          <w:rFonts w:hint="eastAsia" w:ascii="仿宋" w:hAnsi="仿宋" w:eastAsia="仿宋" w:cs="仿宋_GB2312"/>
          <w:kern w:val="0"/>
          <w:sz w:val="32"/>
          <w:szCs w:val="32"/>
          <w:lang w:eastAsia="zh-CN"/>
        </w:rPr>
        <w:t>。</w:t>
      </w:r>
      <w:r>
        <w:rPr>
          <w:rFonts w:hint="eastAsia" w:ascii="仿宋_GB2312" w:hAnsi="仿宋_GB2312" w:eastAsia="仿宋_GB2312" w:cs="仿宋_GB2312"/>
          <w:sz w:val="32"/>
          <w:szCs w:val="32"/>
          <w:highlight w:val="none"/>
          <w:lang w:val="en-US" w:eastAsia="zh-CN"/>
        </w:rPr>
        <w:t>预决算差异原因为桂教办〔2024〕1450号收回以前年度广西政府东盟国家留学生奖学金项目16.55万元，特色本科高校建设及高校教学质量与改革工程项目收回20.90万元，退回财政指标31.3万元，增加广西高校国家助学贷款风险补偿金和财政贴息1854.23元，</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i w:val="0"/>
          <w:iCs w:val="0"/>
          <w:caps w:val="0"/>
          <w:color w:val="auto"/>
          <w:spacing w:val="0"/>
          <w:sz w:val="32"/>
          <w:szCs w:val="32"/>
          <w:shd w:val="clear" w:color="auto" w:fill="FFFFFF"/>
        </w:rPr>
        <w:t>教育领域基础能力提升专项资金（一般债券）</w:t>
      </w:r>
      <w:r>
        <w:rPr>
          <w:rFonts w:hint="eastAsia" w:ascii="仿宋_GB2312" w:hAnsi="仿宋_GB2312" w:eastAsia="仿宋_GB2312" w:cs="仿宋_GB2312"/>
          <w:color w:val="auto"/>
          <w:sz w:val="32"/>
          <w:szCs w:val="32"/>
          <w:highlight w:val="none"/>
          <w:lang w:val="en-US" w:eastAsia="zh-CN" w:bidi="ar"/>
        </w:rPr>
        <w:t>293.03</w:t>
      </w:r>
      <w:r>
        <w:rPr>
          <w:rFonts w:hint="eastAsia" w:ascii="仿宋_GB2312" w:hAnsi="仿宋_GB2312" w:eastAsia="仿宋_GB2312" w:cs="仿宋_GB2312"/>
          <w:i w:val="0"/>
          <w:iCs w:val="0"/>
          <w:caps w:val="0"/>
          <w:color w:val="auto"/>
          <w:spacing w:val="0"/>
          <w:sz w:val="32"/>
          <w:szCs w:val="32"/>
          <w:shd w:val="clear" w:color="auto" w:fill="FFFFFF"/>
          <w:lang w:val="en-US" w:eastAsia="zh-CN"/>
        </w:rPr>
        <w:t>万元</w:t>
      </w:r>
      <w:r>
        <w:rPr>
          <w:rFonts w:hint="eastAsia" w:ascii="仿宋_GB2312" w:hAnsi="仿宋_GB2312" w:eastAsia="仿宋_GB2312" w:cs="仿宋_GB2312"/>
          <w:color w:val="auto"/>
          <w:sz w:val="32"/>
          <w:szCs w:val="32"/>
          <w:highlight w:val="none"/>
          <w:lang w:val="en-US" w:eastAsia="zh-CN"/>
        </w:rPr>
        <w:t>。</w:t>
      </w:r>
    </w:p>
    <w:p w14:paraId="26B9ED2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_GB2312"/>
          <w:kern w:val="0"/>
          <w:sz w:val="32"/>
          <w:szCs w:val="32"/>
        </w:rPr>
        <w:t>社会保障和就业支出年初预算</w:t>
      </w:r>
      <w:r>
        <w:rPr>
          <w:rFonts w:hint="eastAsia" w:ascii="仿宋" w:hAnsi="仿宋" w:eastAsia="仿宋" w:cs="仿宋"/>
          <w:bCs/>
          <w:kern w:val="0"/>
          <w:sz w:val="32"/>
          <w:szCs w:val="32"/>
          <w:lang w:val="en-US" w:eastAsia="zh-CN"/>
        </w:rPr>
        <w:t>641.87</w:t>
      </w:r>
      <w:r>
        <w:rPr>
          <w:rFonts w:hint="eastAsia" w:ascii="仿宋" w:hAnsi="仿宋" w:eastAsia="仿宋" w:cs="仿宋"/>
          <w:bCs/>
          <w:kern w:val="0"/>
          <w:sz w:val="32"/>
          <w:szCs w:val="32"/>
        </w:rPr>
        <w:t>万元，决算支出</w:t>
      </w:r>
      <w:r>
        <w:rPr>
          <w:rFonts w:hint="eastAsia" w:ascii="仿宋" w:hAnsi="仿宋" w:eastAsia="仿宋" w:cs="仿宋"/>
          <w:bCs/>
          <w:kern w:val="0"/>
          <w:sz w:val="32"/>
          <w:szCs w:val="32"/>
          <w:lang w:val="en-US" w:eastAsia="zh-CN"/>
        </w:rPr>
        <w:t>652.25</w:t>
      </w:r>
      <w:r>
        <w:rPr>
          <w:rFonts w:hint="eastAsia" w:ascii="仿宋" w:hAnsi="仿宋" w:eastAsia="仿宋" w:cs="仿宋"/>
          <w:bCs/>
          <w:kern w:val="0"/>
          <w:sz w:val="32"/>
          <w:szCs w:val="32"/>
        </w:rPr>
        <w:t>万元，</w:t>
      </w:r>
      <w:r>
        <w:rPr>
          <w:rFonts w:hint="eastAsia" w:ascii="仿宋_GB2312" w:hAnsi="黑体" w:eastAsia="仿宋_GB2312" w:cs="仿宋_GB2312"/>
          <w:kern w:val="0"/>
          <w:sz w:val="32"/>
          <w:szCs w:val="32"/>
          <w:lang w:val="en-US" w:eastAsia="zh-CN"/>
        </w:rPr>
        <w:t>比</w:t>
      </w:r>
      <w:r>
        <w:rPr>
          <w:rFonts w:hint="eastAsia" w:ascii="仿宋_GB2312" w:hAnsi="黑体" w:eastAsia="仿宋_GB2312" w:cs="仿宋_GB2312"/>
          <w:kern w:val="0"/>
          <w:sz w:val="32"/>
          <w:szCs w:val="32"/>
        </w:rPr>
        <w:t>年初预算</w:t>
      </w:r>
      <w:r>
        <w:rPr>
          <w:rFonts w:hint="eastAsia" w:ascii="仿宋" w:hAnsi="仿宋" w:eastAsia="仿宋" w:cs="仿宋"/>
          <w:kern w:val="0"/>
          <w:sz w:val="32"/>
          <w:szCs w:val="32"/>
          <w:lang w:val="en-US" w:eastAsia="zh-CN"/>
        </w:rPr>
        <w:t>增加10.38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增长1.62</w:t>
      </w:r>
      <w:r>
        <w:rPr>
          <w:rFonts w:hint="eastAsia" w:ascii="仿宋" w:hAnsi="仿宋" w:eastAsia="仿宋" w:cs="仿宋"/>
          <w:kern w:val="0"/>
          <w:sz w:val="32"/>
          <w:szCs w:val="32"/>
        </w:rPr>
        <w:t>%。</w:t>
      </w:r>
      <w:r>
        <w:rPr>
          <w:rFonts w:hint="eastAsia" w:ascii="仿宋" w:hAnsi="仿宋" w:eastAsia="仿宋" w:cs="Arial"/>
          <w:bCs/>
          <w:kern w:val="0"/>
          <w:sz w:val="32"/>
          <w:szCs w:val="32"/>
        </w:rPr>
        <w:t>较年初预算数</w:t>
      </w:r>
      <w:r>
        <w:rPr>
          <w:rFonts w:hint="eastAsia" w:ascii="仿宋" w:hAnsi="仿宋" w:eastAsia="仿宋" w:cs="仿宋"/>
          <w:kern w:val="0"/>
          <w:sz w:val="32"/>
          <w:szCs w:val="32"/>
          <w:lang w:val="en-US" w:eastAsia="zh-CN"/>
        </w:rPr>
        <w:t>增加</w:t>
      </w:r>
      <w:r>
        <w:rPr>
          <w:rFonts w:hint="eastAsia" w:ascii="仿宋" w:hAnsi="仿宋" w:eastAsia="仿宋" w:cs="Arial"/>
          <w:bCs/>
          <w:kern w:val="0"/>
          <w:sz w:val="32"/>
          <w:szCs w:val="32"/>
        </w:rPr>
        <w:t>的原因</w:t>
      </w:r>
      <w:r>
        <w:rPr>
          <w:rFonts w:hint="eastAsia" w:ascii="仿宋" w:hAnsi="仿宋" w:eastAsia="仿宋" w:cs="Arial"/>
          <w:bCs/>
          <w:kern w:val="0"/>
          <w:sz w:val="32"/>
          <w:szCs w:val="32"/>
          <w:lang w:val="en-US" w:eastAsia="zh-CN"/>
        </w:rPr>
        <w:t>是</w:t>
      </w:r>
      <w:r>
        <w:rPr>
          <w:rFonts w:hint="eastAsia" w:ascii="仿宋_GB2312" w:hAnsi="仿宋_GB2312" w:eastAsia="仿宋_GB2312" w:cs="仿宋_GB2312"/>
          <w:color w:val="auto"/>
          <w:kern w:val="0"/>
          <w:sz w:val="32"/>
          <w:szCs w:val="32"/>
          <w:lang w:eastAsia="zh-CN"/>
        </w:rPr>
        <w:t>自治区追加预算。</w:t>
      </w:r>
      <w:r>
        <w:rPr>
          <w:rFonts w:hint="eastAsia" w:ascii="仿宋" w:hAnsi="仿宋" w:eastAsia="仿宋" w:cs="仿宋"/>
          <w:bCs/>
          <w:kern w:val="0"/>
          <w:sz w:val="32"/>
          <w:szCs w:val="32"/>
        </w:rPr>
        <w:t>主要用于梧州学院本级</w:t>
      </w:r>
      <w:r>
        <w:rPr>
          <w:rFonts w:hint="eastAsia" w:ascii="仿宋" w:hAnsi="仿宋" w:eastAsia="仿宋" w:cs="仿宋"/>
          <w:kern w:val="0"/>
          <w:sz w:val="32"/>
          <w:szCs w:val="32"/>
        </w:rPr>
        <w:t>按国家规定发放的在职人员养老保险支出</w:t>
      </w:r>
      <w:r>
        <w:rPr>
          <w:rFonts w:hint="eastAsia" w:ascii="仿宋" w:hAnsi="仿宋" w:eastAsia="仿宋" w:cs="仿宋"/>
          <w:kern w:val="0"/>
          <w:sz w:val="32"/>
          <w:szCs w:val="32"/>
          <w:lang w:val="en-US" w:eastAsia="zh-CN"/>
        </w:rPr>
        <w:t>及支付死亡抚恤金</w:t>
      </w:r>
      <w:r>
        <w:rPr>
          <w:rFonts w:hint="eastAsia" w:ascii="仿宋" w:hAnsi="仿宋" w:eastAsia="仿宋" w:cs="仿宋"/>
          <w:kern w:val="0"/>
          <w:sz w:val="32"/>
          <w:szCs w:val="32"/>
        </w:rPr>
        <w:t>。</w:t>
      </w:r>
    </w:p>
    <w:p w14:paraId="7536A8C7">
      <w:pPr>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（三）</w:t>
      </w:r>
      <w:r>
        <w:rPr>
          <w:rFonts w:hint="eastAsia" w:ascii="仿宋" w:hAnsi="仿宋" w:eastAsia="仿宋" w:cs="仿宋_GB2312"/>
          <w:kern w:val="0"/>
          <w:sz w:val="32"/>
          <w:szCs w:val="32"/>
        </w:rPr>
        <w:t>卫生健康支出年初预算</w:t>
      </w:r>
      <w:r>
        <w:rPr>
          <w:rFonts w:hint="eastAsia" w:ascii="仿宋" w:hAnsi="仿宋" w:eastAsia="仿宋" w:cs="仿宋"/>
          <w:bCs/>
          <w:kern w:val="0"/>
          <w:sz w:val="32"/>
          <w:szCs w:val="32"/>
          <w:lang w:val="en-US" w:eastAsia="zh-CN"/>
        </w:rPr>
        <w:t>372.75</w:t>
      </w:r>
      <w:r>
        <w:rPr>
          <w:rFonts w:hint="eastAsia" w:ascii="仿宋" w:hAnsi="仿宋" w:eastAsia="仿宋" w:cs="仿宋"/>
          <w:bCs/>
          <w:kern w:val="0"/>
          <w:sz w:val="32"/>
          <w:szCs w:val="32"/>
        </w:rPr>
        <w:t>万元，决算支出</w:t>
      </w:r>
      <w:r>
        <w:rPr>
          <w:rFonts w:hint="eastAsia" w:ascii="仿宋" w:hAnsi="仿宋" w:eastAsia="仿宋" w:cs="仿宋"/>
          <w:bCs/>
          <w:kern w:val="0"/>
          <w:sz w:val="32"/>
          <w:szCs w:val="32"/>
          <w:lang w:val="en-US" w:eastAsia="zh-CN"/>
        </w:rPr>
        <w:t>323.99</w:t>
      </w:r>
      <w:r>
        <w:rPr>
          <w:rFonts w:hint="eastAsia" w:ascii="仿宋" w:hAnsi="仿宋" w:eastAsia="仿宋" w:cs="仿宋"/>
          <w:bCs/>
          <w:kern w:val="0"/>
          <w:sz w:val="32"/>
          <w:szCs w:val="32"/>
        </w:rPr>
        <w:t>万元，</w:t>
      </w:r>
      <w:r>
        <w:rPr>
          <w:rFonts w:hint="eastAsia" w:ascii="仿宋_GB2312" w:hAnsi="黑体" w:eastAsia="仿宋_GB2312" w:cs="仿宋_GB2312"/>
          <w:kern w:val="0"/>
          <w:sz w:val="32"/>
          <w:szCs w:val="32"/>
          <w:lang w:val="en-US" w:eastAsia="zh-CN"/>
        </w:rPr>
        <w:t>比</w:t>
      </w:r>
      <w:r>
        <w:rPr>
          <w:rFonts w:hint="eastAsia" w:ascii="仿宋_GB2312" w:hAnsi="黑体" w:eastAsia="仿宋_GB2312" w:cs="仿宋_GB2312"/>
          <w:kern w:val="0"/>
          <w:sz w:val="32"/>
          <w:szCs w:val="32"/>
        </w:rPr>
        <w:t>年初预算</w:t>
      </w:r>
      <w:r>
        <w:rPr>
          <w:rFonts w:hint="eastAsia" w:ascii="仿宋" w:hAnsi="仿宋" w:eastAsia="仿宋" w:cs="仿宋"/>
          <w:kern w:val="0"/>
          <w:sz w:val="32"/>
          <w:szCs w:val="32"/>
          <w:lang w:val="en-US" w:eastAsia="zh-CN"/>
        </w:rPr>
        <w:t>减少48.76</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下降13.08</w:t>
      </w:r>
      <w:r>
        <w:rPr>
          <w:rFonts w:hint="eastAsia" w:ascii="仿宋" w:hAnsi="仿宋" w:eastAsia="仿宋" w:cs="仿宋"/>
          <w:kern w:val="0"/>
          <w:sz w:val="32"/>
          <w:szCs w:val="32"/>
        </w:rPr>
        <w:t>%，</w:t>
      </w:r>
      <w:r>
        <w:rPr>
          <w:rFonts w:hint="eastAsia" w:ascii="仿宋" w:hAnsi="仿宋" w:eastAsia="仿宋" w:cs="Arial"/>
          <w:bCs/>
          <w:kern w:val="0"/>
          <w:sz w:val="32"/>
          <w:szCs w:val="32"/>
        </w:rPr>
        <w:t>较年初预算数</w:t>
      </w:r>
      <w:r>
        <w:rPr>
          <w:rFonts w:hint="eastAsia" w:ascii="仿宋" w:hAnsi="仿宋" w:eastAsia="仿宋" w:cs="仿宋"/>
          <w:kern w:val="0"/>
          <w:sz w:val="32"/>
          <w:szCs w:val="32"/>
          <w:lang w:val="en-US" w:eastAsia="zh-CN"/>
        </w:rPr>
        <w:t>减少</w:t>
      </w:r>
      <w:r>
        <w:rPr>
          <w:rFonts w:hint="eastAsia" w:ascii="仿宋" w:hAnsi="仿宋" w:eastAsia="仿宋" w:cs="Arial"/>
          <w:bCs/>
          <w:kern w:val="0"/>
          <w:sz w:val="32"/>
          <w:szCs w:val="32"/>
        </w:rPr>
        <w:t>的原因是</w:t>
      </w:r>
      <w:r>
        <w:rPr>
          <w:rFonts w:hint="eastAsia" w:ascii="仿宋_GB2312" w:hAnsi="仿宋_GB2312" w:eastAsia="仿宋_GB2312" w:cs="仿宋_GB2312"/>
          <w:color w:val="auto"/>
          <w:kern w:val="0"/>
          <w:sz w:val="32"/>
          <w:szCs w:val="32"/>
          <w:lang w:eastAsia="zh-CN"/>
        </w:rPr>
        <w:t>自治区</w:t>
      </w:r>
      <w:r>
        <w:rPr>
          <w:rFonts w:hint="eastAsia" w:ascii="仿宋_GB2312" w:hAnsi="仿宋_GB2312" w:eastAsia="仿宋_GB2312" w:cs="仿宋_GB2312"/>
          <w:color w:val="auto"/>
          <w:kern w:val="0"/>
          <w:sz w:val="32"/>
          <w:szCs w:val="32"/>
          <w:lang w:val="en-US" w:eastAsia="zh-CN"/>
        </w:rPr>
        <w:t>调整</w:t>
      </w:r>
      <w:r>
        <w:rPr>
          <w:rFonts w:hint="eastAsia" w:ascii="仿宋_GB2312" w:hAnsi="仿宋_GB2312" w:eastAsia="仿宋_GB2312" w:cs="仿宋_GB2312"/>
          <w:color w:val="auto"/>
          <w:kern w:val="0"/>
          <w:sz w:val="32"/>
          <w:szCs w:val="32"/>
          <w:lang w:eastAsia="zh-CN"/>
        </w:rPr>
        <w:t>预算</w:t>
      </w:r>
      <w:r>
        <w:rPr>
          <w:rFonts w:hint="eastAsia" w:ascii="仿宋" w:hAnsi="仿宋" w:eastAsia="仿宋" w:cs="仿宋"/>
          <w:color w:val="000000"/>
          <w:kern w:val="0"/>
          <w:sz w:val="32"/>
          <w:szCs w:val="32"/>
        </w:rPr>
        <w:t>。</w:t>
      </w:r>
      <w:r>
        <w:rPr>
          <w:rFonts w:hint="eastAsia" w:ascii="仿宋" w:hAnsi="仿宋" w:eastAsia="仿宋" w:cs="仿宋"/>
          <w:bCs/>
          <w:kern w:val="0"/>
          <w:sz w:val="32"/>
          <w:szCs w:val="32"/>
        </w:rPr>
        <w:t>主要用于缴纳单位医疗保险。</w:t>
      </w:r>
    </w:p>
    <w:p w14:paraId="55F779FD">
      <w:pPr>
        <w:keepNext w:val="0"/>
        <w:keepLines w:val="0"/>
        <w:pageBreakBefore w:val="0"/>
        <w:widowControl w:val="0"/>
        <w:kinsoku/>
        <w:wordWrap/>
        <w:overflowPunct/>
        <w:topLinePunct w:val="0"/>
        <w:autoSpaceDE w:val="0"/>
        <w:autoSpaceDN w:val="0"/>
        <w:bidi w:val="0"/>
        <w:adjustRightInd w:val="0"/>
        <w:snapToGrid/>
        <w:spacing w:line="560" w:lineRule="exact"/>
        <w:ind w:firstLine="627"/>
        <w:textAlignment w:val="auto"/>
        <w:rPr>
          <w:rFonts w:hint="default" w:ascii="仿宋" w:hAnsi="仿宋" w:eastAsia="仿宋" w:cs="仿宋"/>
          <w:bCs/>
          <w:kern w:val="0"/>
          <w:sz w:val="32"/>
          <w:szCs w:val="32"/>
          <w:lang w:val="en-US" w:eastAsia="zh-CN"/>
        </w:rPr>
      </w:pP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四</w:t>
      </w:r>
      <w:r>
        <w:rPr>
          <w:rFonts w:hint="eastAsia" w:ascii="仿宋" w:hAnsi="仿宋" w:eastAsia="仿宋" w:cs="仿宋"/>
          <w:bCs/>
          <w:kern w:val="0"/>
          <w:sz w:val="32"/>
          <w:szCs w:val="32"/>
          <w:lang w:eastAsia="zh-CN"/>
        </w:rPr>
        <w:t>）</w:t>
      </w:r>
      <w:r>
        <w:rPr>
          <w:rFonts w:hint="eastAsia" w:ascii="仿宋" w:hAnsi="仿宋" w:eastAsia="仿宋" w:cs="仿宋_GB2312"/>
          <w:kern w:val="0"/>
          <w:sz w:val="32"/>
          <w:szCs w:val="32"/>
        </w:rPr>
        <w:t>住房保障支出年初预算</w:t>
      </w:r>
      <w:r>
        <w:rPr>
          <w:rFonts w:hint="eastAsia" w:ascii="仿宋" w:hAnsi="仿宋" w:eastAsia="仿宋" w:cs="仿宋"/>
          <w:bCs/>
          <w:kern w:val="0"/>
          <w:sz w:val="32"/>
          <w:szCs w:val="32"/>
          <w:lang w:val="en-US" w:eastAsia="zh-CN"/>
        </w:rPr>
        <w:t>481.41</w:t>
      </w:r>
      <w:r>
        <w:rPr>
          <w:rFonts w:hint="eastAsia" w:ascii="仿宋" w:hAnsi="仿宋" w:eastAsia="仿宋" w:cs="仿宋"/>
          <w:bCs/>
          <w:kern w:val="0"/>
          <w:sz w:val="32"/>
          <w:szCs w:val="32"/>
        </w:rPr>
        <w:t>万元，决算支出</w:t>
      </w:r>
      <w:r>
        <w:rPr>
          <w:rFonts w:hint="eastAsia" w:ascii="仿宋" w:hAnsi="仿宋" w:eastAsia="仿宋" w:cs="仿宋"/>
          <w:bCs/>
          <w:kern w:val="0"/>
          <w:sz w:val="32"/>
          <w:szCs w:val="32"/>
          <w:lang w:val="en-US" w:eastAsia="zh-CN"/>
        </w:rPr>
        <w:t>462.53</w:t>
      </w:r>
      <w:r>
        <w:rPr>
          <w:rFonts w:hint="eastAsia" w:ascii="仿宋" w:hAnsi="仿宋" w:eastAsia="仿宋" w:cs="仿宋"/>
          <w:bCs/>
          <w:kern w:val="0"/>
          <w:sz w:val="32"/>
          <w:szCs w:val="32"/>
        </w:rPr>
        <w:t>万元，</w:t>
      </w:r>
      <w:r>
        <w:rPr>
          <w:rFonts w:hint="eastAsia" w:ascii="仿宋_GB2312" w:hAnsi="黑体" w:eastAsia="仿宋_GB2312" w:cs="仿宋_GB2312"/>
          <w:kern w:val="0"/>
          <w:sz w:val="32"/>
          <w:szCs w:val="32"/>
          <w:lang w:val="en-US" w:eastAsia="zh-CN"/>
        </w:rPr>
        <w:t>比</w:t>
      </w:r>
      <w:r>
        <w:rPr>
          <w:rFonts w:hint="eastAsia" w:ascii="仿宋_GB2312" w:hAnsi="黑体" w:eastAsia="仿宋_GB2312" w:cs="仿宋_GB2312"/>
          <w:kern w:val="0"/>
          <w:sz w:val="32"/>
          <w:szCs w:val="32"/>
        </w:rPr>
        <w:t>年初预算</w:t>
      </w:r>
      <w:r>
        <w:rPr>
          <w:rFonts w:hint="eastAsia" w:ascii="仿宋" w:hAnsi="仿宋" w:eastAsia="仿宋" w:cs="仿宋"/>
          <w:kern w:val="0"/>
          <w:sz w:val="32"/>
          <w:szCs w:val="32"/>
          <w:lang w:val="en-US" w:eastAsia="zh-CN"/>
        </w:rPr>
        <w:t>减少18.88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下降3.92</w:t>
      </w:r>
      <w:r>
        <w:rPr>
          <w:rFonts w:hint="eastAsia" w:ascii="仿宋" w:hAnsi="仿宋" w:eastAsia="仿宋" w:cs="仿宋"/>
          <w:kern w:val="0"/>
          <w:sz w:val="32"/>
          <w:szCs w:val="32"/>
        </w:rPr>
        <w:t>%。</w:t>
      </w:r>
      <w:r>
        <w:rPr>
          <w:rFonts w:hint="eastAsia" w:ascii="仿宋" w:hAnsi="仿宋" w:eastAsia="仿宋" w:cs="Arial"/>
          <w:bCs/>
          <w:kern w:val="0"/>
          <w:sz w:val="32"/>
          <w:szCs w:val="32"/>
        </w:rPr>
        <w:t>较年初预算数</w:t>
      </w:r>
      <w:r>
        <w:rPr>
          <w:rFonts w:hint="eastAsia" w:ascii="仿宋" w:hAnsi="仿宋" w:eastAsia="仿宋" w:cs="仿宋"/>
          <w:kern w:val="0"/>
          <w:sz w:val="32"/>
          <w:szCs w:val="32"/>
          <w:lang w:val="en-US" w:eastAsia="zh-CN"/>
        </w:rPr>
        <w:t>减少</w:t>
      </w:r>
      <w:r>
        <w:rPr>
          <w:rFonts w:hint="eastAsia" w:ascii="仿宋" w:hAnsi="仿宋" w:eastAsia="仿宋" w:cs="Arial"/>
          <w:bCs/>
          <w:kern w:val="0"/>
          <w:sz w:val="32"/>
          <w:szCs w:val="32"/>
        </w:rPr>
        <w:t>的原因是</w:t>
      </w:r>
      <w:r>
        <w:rPr>
          <w:rFonts w:hint="eastAsia" w:ascii="仿宋_GB2312" w:hAnsi="仿宋_GB2312" w:eastAsia="仿宋_GB2312" w:cs="仿宋_GB2312"/>
          <w:color w:val="auto"/>
          <w:kern w:val="0"/>
          <w:sz w:val="32"/>
          <w:szCs w:val="32"/>
          <w:lang w:eastAsia="zh-CN"/>
        </w:rPr>
        <w:t>自治区</w:t>
      </w:r>
      <w:r>
        <w:rPr>
          <w:rFonts w:hint="eastAsia" w:ascii="仿宋_GB2312" w:hAnsi="仿宋_GB2312" w:eastAsia="仿宋_GB2312" w:cs="仿宋_GB2312"/>
          <w:color w:val="auto"/>
          <w:kern w:val="0"/>
          <w:sz w:val="32"/>
          <w:szCs w:val="32"/>
          <w:lang w:val="en-US" w:eastAsia="zh-CN"/>
        </w:rPr>
        <w:t>调整</w:t>
      </w:r>
      <w:r>
        <w:rPr>
          <w:rFonts w:hint="eastAsia" w:ascii="仿宋_GB2312" w:hAnsi="仿宋_GB2312" w:eastAsia="仿宋_GB2312" w:cs="仿宋_GB2312"/>
          <w:color w:val="auto"/>
          <w:kern w:val="0"/>
          <w:sz w:val="32"/>
          <w:szCs w:val="32"/>
          <w:lang w:eastAsia="zh-CN"/>
        </w:rPr>
        <w:t>预算</w:t>
      </w:r>
      <w:r>
        <w:rPr>
          <w:rFonts w:hint="eastAsia" w:ascii="仿宋" w:hAnsi="仿宋" w:eastAsia="仿宋" w:cs="仿宋"/>
          <w:color w:val="000000"/>
          <w:kern w:val="0"/>
          <w:sz w:val="32"/>
          <w:szCs w:val="32"/>
        </w:rPr>
        <w:t>。</w:t>
      </w:r>
      <w:r>
        <w:rPr>
          <w:rFonts w:hint="eastAsia" w:ascii="仿宋" w:hAnsi="仿宋" w:eastAsia="仿宋" w:cs="仿宋"/>
          <w:bCs/>
          <w:kern w:val="0"/>
          <w:sz w:val="32"/>
          <w:szCs w:val="32"/>
        </w:rPr>
        <w:t>主要用于按照国家政策</w:t>
      </w:r>
      <w:r>
        <w:rPr>
          <w:rFonts w:hint="eastAsia" w:ascii="仿宋" w:hAnsi="仿宋" w:eastAsia="仿宋" w:cs="仿宋"/>
          <w:kern w:val="0"/>
          <w:sz w:val="32"/>
          <w:szCs w:val="32"/>
        </w:rPr>
        <w:t>规定向职工发放的住房公积金、提租补贴、购房补贴等住房改革方面的支出。</w:t>
      </w:r>
    </w:p>
    <w:p w14:paraId="63591355">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三、一般公共预算财政拨款基本支出决算情况说明</w:t>
      </w:r>
    </w:p>
    <w:p w14:paraId="67E03B91">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公共预算财政拨款基本支出11344.83万元，支出具体情况如下：</w:t>
      </w:r>
    </w:p>
    <w:p w14:paraId="09259BE8">
      <w:pPr>
        <w:numPr>
          <w:ilvl w:val="0"/>
          <w:numId w:val="1"/>
        </w:numPr>
        <w:autoSpaceDE w:val="0"/>
        <w:autoSpaceDN w:val="0"/>
        <w:adjustRightInd w:val="0"/>
        <w:spacing w:line="560" w:lineRule="exact"/>
        <w:ind w:firstLine="640" w:firstLineChars="200"/>
        <w:jc w:val="both"/>
        <w:rPr>
          <w:rFonts w:hint="eastAsia" w:ascii="仿宋" w:hAnsi="仿宋" w:eastAsia="仿宋" w:cs="仿宋"/>
          <w:sz w:val="32"/>
          <w:szCs w:val="32"/>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rPr>
        <w:t>10718.11</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99.47</w:t>
      </w:r>
      <w:r>
        <w:rPr>
          <w:rFonts w:hint="eastAsia" w:ascii="仿宋_GB2312" w:eastAsia="仿宋_GB2312"/>
          <w:bCs/>
          <w:kern w:val="0"/>
          <w:sz w:val="32"/>
          <w:szCs w:val="32"/>
        </w:rPr>
        <w:t xml:space="preserve"> %。</w:t>
      </w:r>
      <w:r>
        <w:rPr>
          <w:rFonts w:hint="eastAsia" w:ascii="仿宋" w:hAnsi="仿宋" w:eastAsia="仿宋" w:cs="仿宋"/>
          <w:bCs/>
          <w:color w:val="000000"/>
          <w:kern w:val="0"/>
          <w:sz w:val="32"/>
          <w:szCs w:val="32"/>
        </w:rPr>
        <w:t>预决算</w:t>
      </w:r>
      <w:r>
        <w:rPr>
          <w:rFonts w:hint="eastAsia" w:ascii="仿宋" w:hAnsi="仿宋" w:eastAsia="仿宋" w:cs="仿宋"/>
          <w:sz w:val="32"/>
          <w:szCs w:val="32"/>
        </w:rPr>
        <w:t>差异</w:t>
      </w:r>
      <w:r>
        <w:rPr>
          <w:rFonts w:hint="eastAsia" w:ascii="仿宋" w:hAnsi="仿宋" w:eastAsia="仿宋" w:cs="仿宋"/>
          <w:sz w:val="32"/>
          <w:szCs w:val="32"/>
          <w:lang w:eastAsia="zh-CN"/>
        </w:rPr>
        <w:t>原因是</w:t>
      </w:r>
      <w:r>
        <w:rPr>
          <w:rFonts w:hint="eastAsia" w:ascii="仿宋" w:hAnsi="仿宋" w:eastAsia="仿宋" w:cs="仿宋"/>
          <w:sz w:val="32"/>
          <w:szCs w:val="32"/>
        </w:rPr>
        <w:t>人员变化、工资标准变化，</w:t>
      </w:r>
      <w:r>
        <w:rPr>
          <w:rFonts w:hint="eastAsia" w:ascii="仿宋" w:hAnsi="仿宋" w:eastAsia="仿宋" w:cs="仿宋"/>
          <w:sz w:val="32"/>
          <w:szCs w:val="32"/>
          <w:lang w:val="en-US" w:eastAsia="zh-CN"/>
        </w:rPr>
        <w:t>区</w:t>
      </w:r>
      <w:r>
        <w:rPr>
          <w:rFonts w:hint="eastAsia" w:ascii="仿宋" w:hAnsi="仿宋" w:eastAsia="仿宋" w:cs="仿宋"/>
          <w:sz w:val="32"/>
          <w:szCs w:val="32"/>
        </w:rPr>
        <w:t>财政</w:t>
      </w:r>
      <w:r>
        <w:rPr>
          <w:rFonts w:hint="eastAsia" w:ascii="仿宋" w:hAnsi="仿宋" w:eastAsia="仿宋" w:cs="仿宋"/>
          <w:sz w:val="32"/>
          <w:szCs w:val="32"/>
          <w:lang w:val="en-US" w:eastAsia="zh-CN"/>
        </w:rPr>
        <w:t>调整</w:t>
      </w:r>
      <w:r>
        <w:rPr>
          <w:rFonts w:hint="eastAsia" w:ascii="仿宋" w:hAnsi="仿宋" w:eastAsia="仿宋" w:cs="仿宋"/>
          <w:sz w:val="32"/>
          <w:szCs w:val="32"/>
        </w:rPr>
        <w:t>人员经费。</w:t>
      </w:r>
    </w:p>
    <w:p w14:paraId="417AA57A">
      <w:pPr>
        <w:numPr>
          <w:ilvl w:val="0"/>
          <w:numId w:val="1"/>
        </w:numPr>
        <w:autoSpaceDE w:val="0"/>
        <w:autoSpaceDN w:val="0"/>
        <w:adjustRightInd w:val="0"/>
        <w:spacing w:line="5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对个人和家庭的补助</w:t>
      </w:r>
      <w:r>
        <w:rPr>
          <w:rFonts w:hint="eastAsia" w:ascii="仿宋" w:hAnsi="仿宋" w:eastAsia="仿宋" w:cs="仿宋"/>
          <w:color w:val="000000"/>
          <w:sz w:val="32"/>
          <w:szCs w:val="32"/>
          <w:lang w:val="en-US" w:eastAsia="zh-CN"/>
        </w:rPr>
        <w:t>528.58万元，完成年初预算的101.39%，</w:t>
      </w:r>
      <w:r>
        <w:rPr>
          <w:rFonts w:hint="eastAsia" w:ascii="仿宋" w:hAnsi="仿宋" w:eastAsia="仿宋" w:cs="仿宋"/>
          <w:bCs/>
          <w:color w:val="000000"/>
          <w:kern w:val="0"/>
          <w:sz w:val="32"/>
          <w:szCs w:val="32"/>
        </w:rPr>
        <w:t>预决算</w:t>
      </w:r>
      <w:r>
        <w:rPr>
          <w:rFonts w:hint="eastAsia" w:ascii="仿宋" w:hAnsi="仿宋" w:eastAsia="仿宋" w:cs="仿宋"/>
          <w:color w:val="000000"/>
          <w:sz w:val="32"/>
          <w:szCs w:val="32"/>
        </w:rPr>
        <w:t>差异</w:t>
      </w:r>
      <w:r>
        <w:rPr>
          <w:rFonts w:hint="eastAsia" w:ascii="仿宋" w:hAnsi="仿宋" w:eastAsia="仿宋" w:cs="仿宋"/>
          <w:color w:val="000000"/>
          <w:sz w:val="32"/>
          <w:szCs w:val="32"/>
          <w:lang w:eastAsia="zh-CN"/>
        </w:rPr>
        <w:t>原因是</w:t>
      </w:r>
      <w:r>
        <w:rPr>
          <w:rFonts w:hint="eastAsia" w:ascii="仿宋" w:hAnsi="仿宋" w:eastAsia="仿宋" w:cs="仿宋"/>
          <w:color w:val="000000"/>
          <w:sz w:val="32"/>
          <w:szCs w:val="32"/>
        </w:rPr>
        <w:t>人员变化，</w:t>
      </w: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财政</w:t>
      </w:r>
      <w:r>
        <w:rPr>
          <w:rFonts w:hint="eastAsia" w:ascii="仿宋" w:hAnsi="仿宋" w:eastAsia="仿宋" w:cs="仿宋"/>
          <w:color w:val="auto"/>
          <w:sz w:val="32"/>
          <w:szCs w:val="32"/>
          <w:lang w:val="en-US" w:eastAsia="zh-CN"/>
        </w:rPr>
        <w:t>追加</w:t>
      </w: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拨款及支出</w:t>
      </w:r>
      <w:r>
        <w:rPr>
          <w:rFonts w:hint="eastAsia" w:ascii="仿宋" w:hAnsi="仿宋" w:eastAsia="仿宋" w:cs="仿宋"/>
          <w:color w:val="000000"/>
          <w:sz w:val="32"/>
          <w:szCs w:val="32"/>
        </w:rPr>
        <w:t>。</w:t>
      </w:r>
    </w:p>
    <w:p w14:paraId="1BE839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lang w:eastAsia="zh-CN"/>
        </w:rPr>
        <w:t>）</w:t>
      </w:r>
      <w:r>
        <w:rPr>
          <w:rFonts w:hint="eastAsia" w:ascii="仿宋_GB2312" w:eastAsia="仿宋_GB2312"/>
          <w:bCs/>
          <w:kern w:val="0"/>
          <w:sz w:val="32"/>
          <w:szCs w:val="32"/>
        </w:rPr>
        <w:t>商品和服务支出</w:t>
      </w:r>
      <w:r>
        <w:rPr>
          <w:rFonts w:hint="eastAsia" w:ascii="仿宋_GB2312" w:eastAsia="仿宋_GB2312" w:cs="仿宋_GB2312"/>
          <w:kern w:val="0"/>
          <w:sz w:val="32"/>
          <w:szCs w:val="32"/>
          <w:lang w:val="en-US" w:eastAsia="zh-CN"/>
        </w:rPr>
        <w:t>98.14</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bCs/>
          <w:kern w:val="0"/>
          <w:sz w:val="32"/>
          <w:szCs w:val="32"/>
        </w:rPr>
        <w:t>%。</w:t>
      </w:r>
    </w:p>
    <w:p w14:paraId="1E8FE8AC">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四、政府性基金支出决算情况</w:t>
      </w:r>
    </w:p>
    <w:p w14:paraId="3CE38123">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color w:val="auto"/>
          <w:kern w:val="0"/>
          <w:sz w:val="32"/>
          <w:szCs w:val="32"/>
          <w:u w:val="none"/>
        </w:rPr>
        <w:t>2</w:t>
      </w:r>
      <w:r>
        <w:rPr>
          <w:rFonts w:hint="eastAsia" w:ascii="仿宋_GB2312" w:hAnsi="黑体" w:eastAsia="仿宋_GB2312"/>
          <w:color w:val="auto"/>
          <w:kern w:val="0"/>
          <w:sz w:val="32"/>
          <w:szCs w:val="32"/>
        </w:rPr>
        <w:t>02</w:t>
      </w:r>
      <w:r>
        <w:rPr>
          <w:rFonts w:hint="eastAsia" w:ascii="仿宋_GB2312" w:hAnsi="黑体" w:eastAsia="仿宋_GB2312"/>
          <w:color w:val="auto"/>
          <w:kern w:val="0"/>
          <w:sz w:val="32"/>
          <w:szCs w:val="32"/>
          <w:lang w:val="en-US" w:eastAsia="zh-CN"/>
        </w:rPr>
        <w:t>4</w:t>
      </w:r>
      <w:r>
        <w:rPr>
          <w:rFonts w:hint="eastAsia" w:ascii="仿宋_GB2312" w:hAnsi="黑体" w:eastAsia="仿宋_GB2312" w:cs="仿宋_GB2312"/>
          <w:color w:val="auto"/>
          <w:kern w:val="0"/>
          <w:sz w:val="32"/>
          <w:szCs w:val="32"/>
        </w:rPr>
        <w:t>年度</w:t>
      </w:r>
      <w:r>
        <w:rPr>
          <w:rFonts w:hint="eastAsia" w:ascii="仿宋_GB2312" w:hAnsi="黑体" w:eastAsia="仿宋_GB2312" w:cs="仿宋_GB2312"/>
          <w:kern w:val="0"/>
          <w:sz w:val="32"/>
          <w:szCs w:val="32"/>
        </w:rPr>
        <w:t>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万元，较</w:t>
      </w:r>
      <w:r>
        <w:rPr>
          <w:rFonts w:hint="eastAsia" w:ascii="仿宋_GB2312" w:hAnsi="黑体" w:eastAsia="仿宋_GB2312" w:cs="仿宋_GB2312"/>
          <w:kern w:val="0"/>
          <w:sz w:val="32"/>
          <w:szCs w:val="32"/>
          <w:lang w:val="en-US" w:eastAsia="zh-CN"/>
        </w:rPr>
        <w:t>年初预算无增减变化</w:t>
      </w:r>
      <w:r>
        <w:rPr>
          <w:rFonts w:hint="eastAsia" w:ascii="仿宋_GB2312" w:eastAsia="仿宋_GB2312" w:cs="仿宋_GB2312"/>
          <w:kern w:val="0"/>
          <w:sz w:val="32"/>
          <w:szCs w:val="32"/>
        </w:rPr>
        <w:t>。</w:t>
      </w:r>
    </w:p>
    <w:p w14:paraId="520CD360">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五、国有资本经营预算支出决算情况</w:t>
      </w:r>
    </w:p>
    <w:p w14:paraId="279C1FBF">
      <w:pPr>
        <w:keepNext w:val="0"/>
        <w:keepLines w:val="0"/>
        <w:pageBreakBefore w:val="0"/>
        <w:widowControl w:val="0"/>
        <w:kinsoku/>
        <w:wordWrap/>
        <w:overflowPunct/>
        <w:topLinePunct w:val="0"/>
        <w:autoSpaceDE w:val="0"/>
        <w:autoSpaceDN w:val="0"/>
        <w:bidi w:val="0"/>
        <w:adjustRightInd w:val="0"/>
        <w:snapToGrid/>
        <w:spacing w:line="560" w:lineRule="exact"/>
        <w:ind w:firstLine="641"/>
        <w:textAlignment w:val="auto"/>
        <w:rPr>
          <w:rFonts w:hint="eastAsia" w:ascii="仿宋_GB2312" w:eastAsia="仿宋_GB2312" w:cs="仿宋_GB2312"/>
          <w:kern w:val="0"/>
          <w:sz w:val="32"/>
          <w:szCs w:val="32"/>
        </w:rPr>
      </w:pPr>
      <w:r>
        <w:rPr>
          <w:rFonts w:hint="eastAsia" w:ascii="仿宋" w:hAnsi="仿宋" w:eastAsia="仿宋" w:cs="仿宋_GB2312"/>
          <w:kern w:val="0"/>
          <w:sz w:val="32"/>
          <w:szCs w:val="32"/>
        </w:rPr>
        <w:t>无</w:t>
      </w:r>
      <w:r>
        <w:rPr>
          <w:rFonts w:hint="eastAsia" w:ascii="仿宋" w:hAnsi="仿宋" w:eastAsia="仿宋" w:cs="Arial"/>
          <w:kern w:val="0"/>
          <w:sz w:val="32"/>
          <w:szCs w:val="32"/>
        </w:rPr>
        <w:t>国有资本经营收入，</w:t>
      </w:r>
      <w:r>
        <w:rPr>
          <w:rFonts w:hint="eastAsia" w:ascii="仿宋" w:hAnsi="仿宋" w:eastAsia="仿宋" w:cs="Arial"/>
          <w:kern w:val="0"/>
          <w:sz w:val="32"/>
          <w:szCs w:val="32"/>
          <w:lang w:val="en-US" w:eastAsia="zh-CN"/>
        </w:rPr>
        <w:t>无</w:t>
      </w:r>
      <w:r>
        <w:rPr>
          <w:rFonts w:hint="eastAsia" w:ascii="仿宋" w:hAnsi="仿宋" w:eastAsia="仿宋" w:cs="Arial"/>
          <w:kern w:val="0"/>
          <w:sz w:val="32"/>
          <w:szCs w:val="32"/>
        </w:rPr>
        <w:t>国有资本经营支出，与去年相比无增减变化，与预算相比无增减变化。</w:t>
      </w:r>
    </w:p>
    <w:p w14:paraId="59612C8D">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6475086">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202</w:t>
      </w: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rPr>
        <w:t>年度财政拨款安排的“三公”经费支出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万元，完成</w:t>
      </w:r>
      <w:r>
        <w:rPr>
          <w:rFonts w:hint="eastAsia" w:ascii="仿宋_GB2312" w:eastAsia="仿宋_GB2312" w:cs="仿宋_GB2312"/>
          <w:color w:val="auto"/>
          <w:kern w:val="0"/>
          <w:sz w:val="32"/>
          <w:szCs w:val="32"/>
          <w:lang w:val="en-US" w:eastAsia="zh-CN"/>
        </w:rPr>
        <w:t>支出为0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en-US" w:eastAsia="zh-CN"/>
        </w:rPr>
        <w:t>与上年相比无增减变化</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万元，公务接待费支出决算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p>
    <w:p w14:paraId="20912375">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val="en-US" w:eastAsia="zh-CN"/>
        </w:rPr>
        <w:t>我校“三公”经费由财政专户资金支出，其中</w:t>
      </w:r>
      <w:r>
        <w:rPr>
          <w:rFonts w:hint="eastAsia" w:ascii="仿宋_GB2312" w:eastAsia="仿宋_GB2312" w:cs="仿宋_GB2312"/>
          <w:color w:val="auto"/>
          <w:kern w:val="0"/>
          <w:sz w:val="32"/>
          <w:szCs w:val="32"/>
          <w:highlight w:val="none"/>
        </w:rPr>
        <w:t>因公出国（境）费支出</w:t>
      </w:r>
      <w:r>
        <w:rPr>
          <w:rFonts w:hint="eastAsia" w:ascii="仿宋_GB2312" w:eastAsia="仿宋_GB2312" w:cs="仿宋_GB2312"/>
          <w:color w:val="auto"/>
          <w:kern w:val="0"/>
          <w:sz w:val="32"/>
          <w:szCs w:val="32"/>
          <w:highlight w:val="none"/>
          <w:lang w:val="en-US" w:eastAsia="zh-CN"/>
        </w:rPr>
        <w:t>19.45</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公务用车购置支出</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万元，公务用车运行支出</w:t>
      </w:r>
      <w:r>
        <w:rPr>
          <w:rFonts w:hint="eastAsia" w:ascii="仿宋_GB2312" w:eastAsia="仿宋_GB2312" w:cs="仿宋_GB2312"/>
          <w:color w:val="auto"/>
          <w:kern w:val="0"/>
          <w:sz w:val="32"/>
          <w:szCs w:val="32"/>
          <w:highlight w:val="none"/>
          <w:lang w:val="en-US" w:eastAsia="zh-CN"/>
        </w:rPr>
        <w:t>18.91</w:t>
      </w:r>
      <w:r>
        <w:rPr>
          <w:rFonts w:hint="eastAsia" w:ascii="仿宋_GB2312" w:eastAsia="仿宋_GB2312" w:cs="仿宋_GB2312"/>
          <w:color w:val="auto"/>
          <w:kern w:val="0"/>
          <w:sz w:val="32"/>
          <w:szCs w:val="32"/>
          <w:highlight w:val="none"/>
        </w:rPr>
        <w:t>万元，公务接待费支出</w:t>
      </w:r>
      <w:r>
        <w:rPr>
          <w:rFonts w:hint="eastAsia" w:ascii="仿宋_GB2312" w:eastAsia="仿宋_GB2312" w:cs="仿宋_GB2312"/>
          <w:color w:val="auto"/>
          <w:kern w:val="0"/>
          <w:sz w:val="32"/>
          <w:szCs w:val="32"/>
          <w:highlight w:val="none"/>
          <w:lang w:val="en-US" w:eastAsia="zh-CN"/>
        </w:rPr>
        <w:t>8.83</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w:t>
      </w:r>
    </w:p>
    <w:p w14:paraId="315FDB32">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AA904BC">
      <w:pPr>
        <w:autoSpaceDE w:val="0"/>
        <w:autoSpaceDN w:val="0"/>
        <w:adjustRightInd w:val="0"/>
        <w:spacing w:line="560" w:lineRule="exact"/>
        <w:ind w:firstLine="643" w:firstLineChars="200"/>
        <w:jc w:val="both"/>
        <w:rPr>
          <w:rFonts w:hint="eastAsia" w:ascii="仿宋" w:hAnsi="仿宋" w:eastAsia="仿宋" w:cs="仿宋_GB2312"/>
          <w:color w:val="auto"/>
          <w:kern w:val="0"/>
          <w:sz w:val="32"/>
          <w:szCs w:val="32"/>
          <w:lang w:val="en-US" w:eastAsia="zh-CN"/>
        </w:rPr>
      </w:pPr>
      <w:r>
        <w:rPr>
          <w:rFonts w:hint="eastAsia" w:ascii="楷体_GB2312" w:eastAsia="楷体_GB2312" w:cs="仿宋_GB2312"/>
          <w:b/>
          <w:bCs/>
          <w:color w:val="auto"/>
          <w:kern w:val="0"/>
          <w:sz w:val="32"/>
          <w:szCs w:val="32"/>
        </w:rPr>
        <w:t>（一）机关运行经费支出情况说明。</w:t>
      </w:r>
      <w:r>
        <w:rPr>
          <w:rFonts w:hint="eastAsia" w:ascii="仿宋_GB2312" w:eastAsia="仿宋_GB2312" w:cs="仿宋_GB2312"/>
          <w:color w:val="auto"/>
          <w:kern w:val="0"/>
          <w:sz w:val="32"/>
          <w:szCs w:val="32"/>
        </w:rPr>
        <w:t>202</w:t>
      </w: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rPr>
        <w:t>年度机关运行经费支出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en-US" w:eastAsia="zh-CN"/>
        </w:rPr>
        <w:t>较</w:t>
      </w:r>
      <w:r>
        <w:rPr>
          <w:rFonts w:hint="eastAsia" w:ascii="仿宋" w:hAnsi="仿宋" w:eastAsia="仿宋" w:cs="仿宋_GB2312"/>
          <w:color w:val="auto"/>
          <w:kern w:val="0"/>
          <w:sz w:val="32"/>
          <w:szCs w:val="32"/>
        </w:rPr>
        <w:t>年初预算数相比</w:t>
      </w:r>
      <w:r>
        <w:rPr>
          <w:rFonts w:hint="eastAsia" w:ascii="仿宋" w:hAnsi="仿宋" w:eastAsia="仿宋" w:cs="Arial"/>
          <w:color w:val="auto"/>
          <w:kern w:val="0"/>
          <w:sz w:val="32"/>
          <w:szCs w:val="32"/>
        </w:rPr>
        <w:t>无增减变化</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较</w:t>
      </w:r>
      <w:r>
        <w:rPr>
          <w:rFonts w:hint="eastAsia" w:ascii="仿宋_GB2312" w:eastAsia="仿宋_GB2312" w:cs="仿宋_GB2312"/>
          <w:color w:val="auto"/>
          <w:kern w:val="0"/>
          <w:sz w:val="32"/>
          <w:szCs w:val="32"/>
        </w:rPr>
        <w:t>上年决算数</w:t>
      </w:r>
      <w:r>
        <w:rPr>
          <w:rFonts w:hint="eastAsia" w:ascii="仿宋" w:hAnsi="仿宋" w:eastAsia="仿宋" w:cs="Arial"/>
          <w:color w:val="auto"/>
          <w:kern w:val="0"/>
          <w:sz w:val="32"/>
          <w:szCs w:val="32"/>
        </w:rPr>
        <w:t>无增减变化</w:t>
      </w:r>
      <w:r>
        <w:rPr>
          <w:rFonts w:hint="eastAsia" w:ascii="仿宋_GB2312" w:eastAsia="仿宋_GB2312" w:cs="仿宋_GB2312"/>
          <w:color w:val="auto"/>
          <w:kern w:val="0"/>
          <w:sz w:val="32"/>
          <w:szCs w:val="32"/>
          <w:lang w:eastAsia="zh-CN"/>
        </w:rPr>
        <w:t>。</w:t>
      </w:r>
      <w:r>
        <w:rPr>
          <w:rFonts w:hint="eastAsia" w:ascii="仿宋" w:hAnsi="仿宋" w:eastAsia="仿宋" w:cs="仿宋_GB2312"/>
          <w:color w:val="auto"/>
          <w:kern w:val="0"/>
          <w:sz w:val="32"/>
          <w:szCs w:val="32"/>
        </w:rPr>
        <w:t>本单位不属于行政单位</w:t>
      </w:r>
      <w:r>
        <w:rPr>
          <w:rFonts w:hint="eastAsia" w:ascii="仿宋" w:hAnsi="仿宋" w:eastAsia="仿宋" w:cs="仿宋_GB2312"/>
          <w:color w:val="auto"/>
          <w:kern w:val="0"/>
          <w:sz w:val="32"/>
          <w:szCs w:val="32"/>
          <w:lang w:val="en-US" w:eastAsia="zh-CN"/>
        </w:rPr>
        <w:t>或</w:t>
      </w:r>
      <w:r>
        <w:rPr>
          <w:rFonts w:hint="eastAsia" w:ascii="仿宋" w:hAnsi="仿宋" w:eastAsia="仿宋" w:cs="仿宋_GB2312"/>
          <w:color w:val="auto"/>
          <w:kern w:val="0"/>
          <w:sz w:val="32"/>
          <w:szCs w:val="32"/>
        </w:rPr>
        <w:t>参照公务员法管理事业单位，无机关运行经费支出。</w:t>
      </w:r>
      <w:r>
        <w:rPr>
          <w:rFonts w:hint="eastAsia" w:ascii="仿宋" w:hAnsi="仿宋" w:eastAsia="仿宋" w:cs="仿宋_GB2312"/>
          <w:color w:val="auto"/>
          <w:kern w:val="0"/>
          <w:sz w:val="32"/>
          <w:szCs w:val="32"/>
          <w:lang w:val="en-US" w:eastAsia="zh-CN"/>
        </w:rPr>
        <w:t xml:space="preserve"> </w:t>
      </w:r>
    </w:p>
    <w:p w14:paraId="70AB03C9">
      <w:pPr>
        <w:numPr>
          <w:ilvl w:val="0"/>
          <w:numId w:val="0"/>
        </w:numPr>
        <w:ind w:firstLine="643" w:firstLineChars="200"/>
        <w:jc w:val="both"/>
        <w:rPr>
          <w:rFonts w:hint="eastAsia" w:ascii="仿宋_GB2312" w:hAnsi="仿宋_GB2312" w:eastAsia="仿宋_GB2312" w:cs="仿宋_GB2312"/>
          <w:sz w:val="32"/>
          <w:szCs w:val="32"/>
        </w:rPr>
      </w:pPr>
      <w:r>
        <w:rPr>
          <w:rFonts w:hint="eastAsia" w:ascii="楷体_GB2312" w:eastAsia="楷体_GB2312" w:cs="仿宋_GB2312"/>
          <w:b/>
          <w:bCs/>
          <w:kern w:val="0"/>
          <w:sz w:val="32"/>
          <w:szCs w:val="32"/>
          <w:lang w:eastAsia="zh-CN"/>
        </w:rPr>
        <w:t>（</w:t>
      </w:r>
      <w:r>
        <w:rPr>
          <w:rFonts w:hint="eastAsia" w:ascii="楷体_GB2312" w:eastAsia="楷体_GB2312" w:cs="仿宋_GB2312"/>
          <w:b/>
          <w:bCs/>
          <w:kern w:val="0"/>
          <w:sz w:val="32"/>
          <w:szCs w:val="32"/>
          <w:lang w:val="en-US" w:eastAsia="zh-CN"/>
        </w:rPr>
        <w:t>二</w:t>
      </w:r>
      <w:r>
        <w:rPr>
          <w:rFonts w:hint="eastAsia" w:ascii="楷体_GB2312" w:eastAsia="楷体_GB2312" w:cs="仿宋_GB2312"/>
          <w:b/>
          <w:bCs/>
          <w:kern w:val="0"/>
          <w:sz w:val="32"/>
          <w:szCs w:val="32"/>
          <w:lang w:eastAsia="zh-CN"/>
        </w:rPr>
        <w:t>）</w:t>
      </w:r>
      <w:r>
        <w:rPr>
          <w:rFonts w:hint="eastAsia" w:ascii="楷体_GB2312" w:eastAsia="楷体_GB2312" w:cs="仿宋_GB2312"/>
          <w:b/>
          <w:bCs/>
          <w:kern w:val="0"/>
          <w:sz w:val="32"/>
          <w:szCs w:val="32"/>
        </w:rPr>
        <w:t>政府采购支出情况说明。</w:t>
      </w:r>
      <w:r>
        <w:rPr>
          <w:rFonts w:hint="eastAsia" w:ascii="仿宋_GB2312" w:hAnsi="仿宋" w:eastAsia="仿宋_GB2312" w:cs="仿宋"/>
          <w:sz w:val="32"/>
          <w:szCs w:val="32"/>
          <w:lang w:val="en-US" w:eastAsia="zh-CN"/>
        </w:rPr>
        <w:t>2024年政府采购支出2,396.57万元，其中货物支出1,389.38万元，占采购总资金规模的57.97 %；工程支出999.95万元，占采购总资金规模的41.72 %；服务支出7.24万元，占采购总资金规模的0.30%。政府采购授予中小企业合同金额2,378.41万元，其中：授予小微企业合同金额2,203.00万元。</w:t>
      </w:r>
    </w:p>
    <w:p w14:paraId="09081FEE">
      <w:pPr>
        <w:autoSpaceDE w:val="0"/>
        <w:autoSpaceDN w:val="0"/>
        <w:adjustRightInd w:val="0"/>
        <w:spacing w:line="560" w:lineRule="exact"/>
        <w:ind w:firstLine="643" w:firstLineChars="200"/>
        <w:jc w:val="both"/>
        <w:rPr>
          <w:rFonts w:hint="eastAsia" w:ascii="仿宋_GB2312" w:eastAsia="仿宋_GB2312" w:cs="仿宋_GB2312"/>
          <w:color w:val="auto"/>
          <w:kern w:val="0"/>
          <w:sz w:val="32"/>
          <w:szCs w:val="32"/>
        </w:rPr>
      </w:pPr>
      <w:r>
        <w:rPr>
          <w:rFonts w:hint="eastAsia" w:ascii="楷体_GB2312" w:eastAsia="楷体_GB2312" w:cs="仿宋_GB2312"/>
          <w:b/>
          <w:bCs/>
          <w:kern w:val="0"/>
          <w:sz w:val="32"/>
          <w:szCs w:val="32"/>
        </w:rPr>
        <w:t>（三）国有资产占用情况说明。</w:t>
      </w: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年12月31日，本部门共有车辆</w:t>
      </w:r>
      <w:r>
        <w:rPr>
          <w:rFonts w:hint="eastAsia" w:ascii="仿宋_GB2312" w:eastAsia="仿宋_GB2312" w:cs="仿宋_GB2312"/>
          <w:color w:val="auto"/>
          <w:kern w:val="0"/>
          <w:sz w:val="32"/>
          <w:szCs w:val="32"/>
          <w:lang w:val="en-US" w:eastAsia="zh-CN"/>
        </w:rPr>
        <w:t>9</w:t>
      </w:r>
      <w:r>
        <w:rPr>
          <w:rFonts w:hint="eastAsia" w:ascii="仿宋_GB2312" w:eastAsia="仿宋_GB2312" w:cs="仿宋_GB2312"/>
          <w:color w:val="auto"/>
          <w:kern w:val="0"/>
          <w:sz w:val="32"/>
          <w:szCs w:val="32"/>
        </w:rPr>
        <w:t>辆</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其中待报废车辆5辆</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w:t>
      </w:r>
      <w:bookmarkStart w:id="0" w:name="_GoBack"/>
      <w:bookmarkEnd w:id="0"/>
      <w:r>
        <w:rPr>
          <w:rFonts w:hint="eastAsia" w:ascii="仿宋_GB2312" w:eastAsia="仿宋_GB2312" w:cs="仿宋_GB2312"/>
          <w:kern w:val="0"/>
          <w:sz w:val="32"/>
          <w:szCs w:val="32"/>
        </w:rPr>
        <w:t>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color w:val="auto"/>
          <w:kern w:val="0"/>
          <w:sz w:val="32"/>
          <w:szCs w:val="32"/>
          <w:u w:val="none"/>
          <w:lang w:val="en-US" w:eastAsia="zh-CN"/>
        </w:rPr>
        <w:t>轿车5辆（其中待报废3辆）、</w:t>
      </w:r>
      <w:r>
        <w:rPr>
          <w:rFonts w:hint="eastAsia" w:ascii="仿宋_GB2312" w:eastAsia="仿宋_GB2312" w:cs="仿宋_GB2312"/>
          <w:color w:val="auto"/>
          <w:kern w:val="0"/>
          <w:sz w:val="32"/>
          <w:szCs w:val="32"/>
          <w:u w:val="none"/>
        </w:rPr>
        <w:t>其他用车</w:t>
      </w:r>
      <w:r>
        <w:rPr>
          <w:rFonts w:hint="eastAsia" w:ascii="仿宋_GB2312" w:eastAsia="仿宋_GB2312" w:cs="仿宋_GB2312"/>
          <w:color w:val="auto"/>
          <w:kern w:val="0"/>
          <w:sz w:val="32"/>
          <w:szCs w:val="32"/>
          <w:u w:val="none"/>
          <w:lang w:val="en-US" w:eastAsia="zh-CN"/>
        </w:rPr>
        <w:t>4</w:t>
      </w:r>
      <w:r>
        <w:rPr>
          <w:rFonts w:hint="eastAsia" w:ascii="仿宋_GB2312" w:eastAsia="仿宋_GB2312" w:cs="仿宋_GB2312"/>
          <w:color w:val="auto"/>
          <w:kern w:val="0"/>
          <w:sz w:val="32"/>
          <w:szCs w:val="32"/>
          <w:u w:val="none"/>
        </w:rPr>
        <w:t>辆</w:t>
      </w:r>
      <w:r>
        <w:rPr>
          <w:rFonts w:hint="eastAsia" w:ascii="仿宋_GB2312" w:eastAsia="仿宋_GB2312" w:cs="仿宋_GB2312"/>
          <w:color w:val="auto"/>
          <w:kern w:val="0"/>
          <w:sz w:val="32"/>
          <w:szCs w:val="32"/>
          <w:u w:val="none"/>
          <w:lang w:eastAsia="zh-CN"/>
        </w:rPr>
        <w:t>。</w:t>
      </w:r>
      <w:r>
        <w:rPr>
          <w:rFonts w:hint="eastAsia" w:ascii="仿宋_GB2312" w:eastAsia="仿宋_GB2312" w:cs="仿宋_GB2312"/>
          <w:color w:val="auto"/>
          <w:kern w:val="0"/>
          <w:sz w:val="32"/>
          <w:szCs w:val="32"/>
        </w:rPr>
        <w:t>其他用车</w:t>
      </w:r>
      <w:r>
        <w:rPr>
          <w:rFonts w:hint="eastAsia" w:ascii="仿宋_GB2312" w:eastAsia="仿宋_GB2312" w:cs="仿宋_GB2312"/>
          <w:color w:val="auto"/>
          <w:kern w:val="0"/>
          <w:sz w:val="32"/>
          <w:szCs w:val="32"/>
          <w:lang w:val="en-US" w:eastAsia="zh-CN"/>
        </w:rPr>
        <w:t>包括</w:t>
      </w:r>
      <w:r>
        <w:rPr>
          <w:rFonts w:hint="eastAsia" w:ascii="仿宋" w:hAnsi="仿宋" w:eastAsia="仿宋" w:cs="Arial"/>
          <w:color w:val="auto"/>
          <w:kern w:val="0"/>
          <w:sz w:val="32"/>
          <w:szCs w:val="32"/>
        </w:rPr>
        <w:t>接送师生来回的大</w:t>
      </w:r>
      <w:r>
        <w:rPr>
          <w:rFonts w:hint="eastAsia" w:ascii="仿宋" w:hAnsi="仿宋" w:eastAsia="仿宋" w:cs="Arial"/>
          <w:color w:val="auto"/>
          <w:kern w:val="0"/>
          <w:sz w:val="32"/>
          <w:szCs w:val="32"/>
          <w:lang w:val="en-US" w:eastAsia="zh-CN"/>
        </w:rPr>
        <w:t>客车2辆（待报废1辆），中巴车2辆（待报废1辆）</w:t>
      </w:r>
      <w:r>
        <w:rPr>
          <w:rFonts w:hint="eastAsia" w:ascii="仿宋_GB2312" w:eastAsia="仿宋_GB2312" w:cs="仿宋_GB2312"/>
          <w:color w:val="auto"/>
          <w:kern w:val="0"/>
          <w:sz w:val="32"/>
          <w:szCs w:val="32"/>
        </w:rPr>
        <w:t>；单位价值100万元以上设备</w:t>
      </w:r>
      <w:r>
        <w:rPr>
          <w:rFonts w:hint="eastAsia" w:ascii="仿宋_GB2312" w:eastAsia="仿宋_GB2312" w:cs="仿宋_GB2312"/>
          <w:color w:val="auto"/>
          <w:kern w:val="0"/>
          <w:sz w:val="32"/>
          <w:szCs w:val="32"/>
          <w:lang w:eastAsia="zh-CN"/>
        </w:rPr>
        <w:t>（不含车辆）</w:t>
      </w:r>
      <w:r>
        <w:rPr>
          <w:rFonts w:hint="eastAsia" w:ascii="仿宋_GB2312" w:eastAsia="仿宋_GB2312" w:cs="仿宋_GB2312"/>
          <w:color w:val="auto"/>
          <w:kern w:val="0"/>
          <w:sz w:val="32"/>
          <w:szCs w:val="32"/>
          <w:lang w:val="en-US" w:eastAsia="zh-CN"/>
        </w:rPr>
        <w:t>7</w:t>
      </w:r>
      <w:r>
        <w:rPr>
          <w:rFonts w:hint="eastAsia" w:ascii="仿宋_GB2312" w:eastAsia="仿宋_GB2312" w:cs="仿宋_GB2312"/>
          <w:color w:val="auto"/>
          <w:kern w:val="0"/>
          <w:sz w:val="32"/>
          <w:szCs w:val="32"/>
        </w:rPr>
        <w:t>台（套）。</w:t>
      </w:r>
    </w:p>
    <w:p w14:paraId="4396A02E">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5399D51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（一）项目绩效目标完成情况。</w:t>
      </w:r>
    </w:p>
    <w:p w14:paraId="6FF304C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1.资金投入情况分析。</w:t>
      </w:r>
    </w:p>
    <w:p w14:paraId="0B6014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（1）项目资金到位情况分析。2024年中央支持地方高校改革发展项目资金到位3,999万元，其中：生均拨款经费到位3,417万元；示范性现代产业学院经费到位582万元。</w:t>
      </w:r>
    </w:p>
    <w:p w14:paraId="36AD4E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val="0"/>
          <w:bCs w:val="0"/>
          <w:sz w:val="32"/>
          <w:szCs w:val="32"/>
          <w:highlight w:val="none"/>
          <w:lang w:val="en-US" w:eastAsia="zh-CN"/>
        </w:rPr>
        <w:t>（2）项目资金执行情况分析。</w:t>
      </w:r>
      <w:r>
        <w:rPr>
          <w:rFonts w:hint="eastAsia" w:ascii="仿宋_GB2312" w:hAnsi="仿宋" w:eastAsia="仿宋_GB2312" w:cs="Times New Roman"/>
          <w:sz w:val="32"/>
          <w:szCs w:val="32"/>
          <w:highlight w:val="none"/>
          <w:lang w:val="en-US" w:eastAsia="zh-CN"/>
        </w:rPr>
        <w:t>2024年中央支持地方高校改革发展项目资金到位3,999万元，其中：生均拨款3,417万元，执行率99.98%，用于办公费90.55万元，执行率100%；印刷费52.30万元，执行率99.90%；水费267.34万元，执行率100%；电费590万元，执行率100%；邮电费102.90万元，执行率100%；差旅费201.80万元，执行率100%；维修（护）费451万元，执行率100%；租赁费13.40万元，执行率100%；专用材料费162.12万元，执行率99.56%；其他交通费用16.20万元，执行率100%；其他商品和服务支出541.39万元，执行率100%；办公设备购置453万元，执行率99%；专用设备购置150万元，执行率100%；其他资本性支出325万元，执行率100%。示范性现代产业学院经费到位582万元，分解为宝石现代产业、六堡茶现代产业2个特色专业，执行率99.98%。</w:t>
      </w:r>
    </w:p>
    <w:p w14:paraId="526ACA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b w:val="0"/>
          <w:bCs w:val="0"/>
          <w:sz w:val="32"/>
          <w:szCs w:val="32"/>
          <w:highlight w:val="none"/>
          <w:lang w:val="en-US" w:eastAsia="zh-CN"/>
        </w:rPr>
      </w:pPr>
      <w:r>
        <w:rPr>
          <w:rFonts w:hint="eastAsia" w:ascii="仿宋_GB2312" w:hAnsi="仿宋" w:eastAsia="仿宋_GB2312" w:cs="Times New Roman"/>
          <w:b w:val="0"/>
          <w:bCs w:val="0"/>
          <w:sz w:val="32"/>
          <w:szCs w:val="32"/>
          <w:highlight w:val="none"/>
          <w:lang w:val="en-US" w:eastAsia="zh-CN"/>
        </w:rPr>
        <w:t>（3）项目资金管理情况分析。</w:t>
      </w:r>
    </w:p>
    <w:p w14:paraId="5D6BE6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一是学校各类财政专项资金的使用，严格贯彻“统筹安排、专款专用、合理规划、按时执行、注重效益”的原则，切实保证了资金的使用进度及效果。</w:t>
      </w:r>
    </w:p>
    <w:p w14:paraId="376C63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二是学校财政专项资金管理实行“归口管理、额度控制、分级负责、责任到人”的管理体制。及时地将资金划拨归口部门并落实到各院部责任部门使用、落实资金使用主要责任人。</w:t>
      </w:r>
    </w:p>
    <w:p w14:paraId="41A42D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三是归口部门制订归口财政专项项目管理年度工作计划，监督指导项目执行。归口管理部门在收到上级主管部门专项资金相关文件，根据文件确定的项目预算总额，应及时开展各项工作。学校财务处、国有资产管理处等部门根据上级主管部门或学校的文件提前协助项目推进建设。</w:t>
      </w:r>
    </w:p>
    <w:p w14:paraId="0E89D3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四是学校在收到项目资金后，资金归口部门立即组织项目责任部门负责人及项目负责人，在一个月内制定项目实施方案，进一步细化项目资金的建设计划，明确各实施时间节点及相关责任人，制定项目支出绩效目标申报表。</w:t>
      </w:r>
    </w:p>
    <w:p w14:paraId="5F9B43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五是督促落实学校及上级主管部门决定的有关事项。</w:t>
      </w:r>
    </w:p>
    <w:p w14:paraId="6EAA0E9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2.总体绩效目标完成情况分析。</w:t>
      </w:r>
    </w:p>
    <w:p w14:paraId="06E560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2024年中央支持地方高校改革发展项目资金下达3,999万元，支付完成比例99.98%，绩效目标完成99.98%。</w:t>
      </w:r>
    </w:p>
    <w:p w14:paraId="27C55C4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3.绩效指标完成情况分析。</w:t>
      </w:r>
    </w:p>
    <w:p w14:paraId="349F1E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（1）产出指标完成情况分析。</w:t>
      </w:r>
    </w:p>
    <w:p w14:paraId="5F55AB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一是数量指标。</w:t>
      </w:r>
    </w:p>
    <w:p w14:paraId="24C3E2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生均拨款水平金额为≥14,000元，全年完成值11,221元，未完成的原因是生均拨款经费不足，改进措施是应当尽量争取区市拨款额度；</w:t>
      </w:r>
    </w:p>
    <w:p w14:paraId="4BE946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支持的教学实验室数量指标值为≥1个，全年完成值为100%；</w:t>
      </w:r>
    </w:p>
    <w:p w14:paraId="4F68B5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支持的科研基地和实训中心数量（个）≥3个，全年完成值为100%；</w:t>
      </w:r>
    </w:p>
    <w:p w14:paraId="7D7ADE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支持的创新团队数量（个）≥9个，全年完成值为100%；</w:t>
      </w:r>
    </w:p>
    <w:p w14:paraId="298021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对就读广西高校的港澳台侨学生予以专项补助人数（人）≥2个，全年完成值为100%。</w:t>
      </w:r>
    </w:p>
    <w:p w14:paraId="32F060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二是质量指标。</w:t>
      </w:r>
    </w:p>
    <w:p w14:paraId="258F38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预算拨款制度年度指标逐步完善；</w:t>
      </w:r>
    </w:p>
    <w:p w14:paraId="170D3A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基本办学条件年度指标逐步改善；</w:t>
      </w:r>
    </w:p>
    <w:p w14:paraId="28FF14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办学质量年度指标逐步提升；</w:t>
      </w:r>
    </w:p>
    <w:p w14:paraId="2889BC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专项补助经费发放合规率≥100%，全年指标完成值为100%；</w:t>
      </w:r>
    </w:p>
    <w:p w14:paraId="1A58F4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示范性现代产业学院中期评估通过率≥90%，全年指标完成值为100%；</w:t>
      </w:r>
    </w:p>
    <w:p w14:paraId="647796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三是</w:t>
      </w:r>
      <w:r>
        <w:rPr>
          <w:rFonts w:hint="default" w:ascii="仿宋_GB2312" w:hAnsi="仿宋" w:eastAsia="仿宋_GB2312" w:cs="Times New Roman"/>
          <w:sz w:val="32"/>
          <w:szCs w:val="32"/>
          <w:highlight w:val="none"/>
          <w:lang w:val="en-US" w:eastAsia="zh-CN"/>
        </w:rPr>
        <w:t>时效指标</w:t>
      </w:r>
      <w:r>
        <w:rPr>
          <w:rFonts w:hint="eastAsia" w:ascii="仿宋_GB2312" w:hAnsi="仿宋" w:eastAsia="仿宋_GB2312" w:cs="Times New Roman"/>
          <w:sz w:val="32"/>
          <w:szCs w:val="32"/>
          <w:highlight w:val="none"/>
          <w:lang w:val="en-US" w:eastAsia="zh-CN"/>
        </w:rPr>
        <w:t>。</w:t>
      </w:r>
    </w:p>
    <w:p w14:paraId="29E736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预算执行进度≥90%，全年指标完成值为99.98%；</w:t>
      </w:r>
    </w:p>
    <w:p w14:paraId="038D55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计划任务及时完成率≥90%，全年指标完成值为100%；</w:t>
      </w:r>
    </w:p>
    <w:p w14:paraId="47432D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港澳台留学生项目2024年12月31日前完成，全年指标完成值为100%。</w:t>
      </w:r>
    </w:p>
    <w:p w14:paraId="7CC428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四是成本指标。</w:t>
      </w:r>
    </w:p>
    <w:p w14:paraId="48B2B6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中央财政支持地方高校改革发展资金（万元）≥3,414.12万元，全年指标完成值为99.98%，未完成原因为存在部分支付失败退回，2025年完成支出；</w:t>
      </w:r>
    </w:p>
    <w:p w14:paraId="1C809A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港澳台留学生专项补助生均补助标准为本科、专科1.44万元/人，全年完成值为100%；</w:t>
      </w:r>
    </w:p>
    <w:p w14:paraId="75C6E9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val="en-US" w:eastAsia="zh-CN"/>
        </w:rPr>
        <w:t>支持示范性现代产业学院建设经费（万元）</w:t>
      </w:r>
      <w:r>
        <w:rPr>
          <w:rFonts w:hint="eastAsia" w:ascii="仿宋_GB2312" w:hAnsi="仿宋" w:eastAsia="仿宋_GB2312" w:cs="Times New Roman"/>
          <w:sz w:val="32"/>
          <w:szCs w:val="32"/>
          <w:highlight w:val="none"/>
          <w:lang w:val="en-US" w:eastAsia="zh-CN"/>
        </w:rPr>
        <w:t>≥582万元，全年指标完成值为99.98%，未完成原因为存在部分支付失败退回，2025年完成支出；</w:t>
      </w:r>
    </w:p>
    <w:p w14:paraId="6539D6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（2）效益指标完成情况分析。</w:t>
      </w:r>
    </w:p>
    <w:p w14:paraId="642AC4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一是经济效益。</w:t>
      </w:r>
    </w:p>
    <w:p w14:paraId="1CC90F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受益学校数指标值为1所，全年完成值为100%；</w:t>
      </w:r>
    </w:p>
    <w:p w14:paraId="0277A6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val="en-US" w:eastAsia="zh-CN"/>
        </w:rPr>
        <w:t>受益学生数</w:t>
      </w:r>
      <w:r>
        <w:rPr>
          <w:rFonts w:hint="eastAsia" w:ascii="仿宋_GB2312" w:hAnsi="仿宋" w:eastAsia="仿宋_GB2312" w:cs="Times New Roman"/>
          <w:sz w:val="32"/>
          <w:szCs w:val="32"/>
          <w:highlight w:val="none"/>
          <w:lang w:val="en-US" w:eastAsia="zh-CN"/>
        </w:rPr>
        <w:t>指标值</w:t>
      </w:r>
      <w:r>
        <w:rPr>
          <w:rFonts w:hint="default"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CN"/>
        </w:rPr>
        <w:t>18000</w:t>
      </w:r>
      <w:r>
        <w:rPr>
          <w:rFonts w:hint="default" w:ascii="仿宋_GB2312" w:hAnsi="仿宋" w:eastAsia="仿宋_GB2312" w:cs="Times New Roman"/>
          <w:sz w:val="32"/>
          <w:szCs w:val="32"/>
          <w:highlight w:val="none"/>
          <w:lang w:val="en-US" w:eastAsia="zh-CN"/>
        </w:rPr>
        <w:t>人</w:t>
      </w:r>
      <w:r>
        <w:rPr>
          <w:rFonts w:hint="eastAsia" w:ascii="仿宋_GB2312" w:hAnsi="仿宋" w:eastAsia="仿宋_GB2312" w:cs="Times New Roman"/>
          <w:sz w:val="32"/>
          <w:szCs w:val="32"/>
          <w:highlight w:val="none"/>
          <w:lang w:val="en-US" w:eastAsia="zh-CN"/>
        </w:rPr>
        <w:t>，全年完成值为18872人；</w:t>
      </w:r>
    </w:p>
    <w:p w14:paraId="490FC2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推动与港澳台地区教育合作交流效果年度完成指标值明显增强；</w:t>
      </w:r>
    </w:p>
    <w:p w14:paraId="567E32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对全区高校的示范引领和辐射作用年度完成指标值为逐步加强；</w:t>
      </w:r>
    </w:p>
    <w:p w14:paraId="7AFA84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全区高校人才培养对经济社会发展的支撑能力年度完成指标值为逐步加强；</w:t>
      </w:r>
    </w:p>
    <w:p w14:paraId="1E9CF7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default" w:ascii="仿宋_GB2312" w:hAnsi="仿宋" w:eastAsia="仿宋_GB2312" w:cs="Times New Roman"/>
          <w:sz w:val="32"/>
          <w:szCs w:val="32"/>
          <w:highlight w:val="none"/>
          <w:lang w:val="en-US" w:eastAsia="zh-CN"/>
        </w:rPr>
        <w:t>为国家重大战略与区域经济发展提供支撑</w:t>
      </w:r>
      <w:r>
        <w:rPr>
          <w:rFonts w:hint="eastAsia" w:ascii="仿宋_GB2312" w:hAnsi="仿宋" w:eastAsia="仿宋_GB2312" w:cs="Times New Roman"/>
          <w:sz w:val="32"/>
          <w:szCs w:val="32"/>
          <w:highlight w:val="none"/>
          <w:lang w:val="en-US" w:eastAsia="zh-CN"/>
        </w:rPr>
        <w:t>的年度完成指标值逐步加强；</w:t>
      </w:r>
    </w:p>
    <w:p w14:paraId="3008FD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二是可持续影响。</w:t>
      </w:r>
    </w:p>
    <w:p w14:paraId="235C52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促进高校持续健康发展年度完成指标值为持续有效；</w:t>
      </w:r>
    </w:p>
    <w:p w14:paraId="32092F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促进港澳台青年对祖国的了解和认同感年度完成指标值不断增进。</w:t>
      </w:r>
    </w:p>
    <w:p w14:paraId="5B00E1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（3）满意度指标完成情况分析。</w:t>
      </w:r>
    </w:p>
    <w:p w14:paraId="7E85BA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地方高校满意度年度指标值为≥90%，全年完成值为100%；</w:t>
      </w:r>
    </w:p>
    <w:p w14:paraId="5CA5E4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学生满意度年度指标值为≥90%，全年完成值为100%；</w:t>
      </w:r>
    </w:p>
    <w:p w14:paraId="06A83523">
      <w:pPr>
        <w:autoSpaceDE w:val="0"/>
        <w:autoSpaceDN w:val="0"/>
        <w:adjustRightInd w:val="0"/>
        <w:spacing w:line="560" w:lineRule="exact"/>
        <w:rPr>
          <w:rFonts w:hint="eastAsia" w:ascii="仿宋_GB2312" w:eastAsia="仿宋_GB2312" w:cs="仿宋_GB2312"/>
          <w:b/>
          <w:kern w:val="0"/>
          <w:sz w:val="32"/>
          <w:szCs w:val="32"/>
        </w:rPr>
      </w:pPr>
      <w:r>
        <w:rPr>
          <w:rFonts w:hint="eastAsia" w:ascii="仿宋_GB2312" w:hAnsi="仿宋" w:eastAsia="仿宋_GB2312" w:cs="Times New Roman"/>
          <w:sz w:val="32"/>
          <w:szCs w:val="32"/>
          <w:highlight w:val="none"/>
          <w:lang w:val="en-US" w:eastAsia="zh-CN"/>
        </w:rPr>
        <w:t>师生满意度年度指标值为≥90%，全年完成值为100%；</w:t>
      </w:r>
    </w:p>
    <w:p w14:paraId="7E8008E3">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A34FEE7">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67BEC38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0FB35D1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446AA5DD">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0B0BA7D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3BFD71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1192F24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0D9DF8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3A36B6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7665FCC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00D71CF5">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12E95F1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3E0D99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F50CEE"/>
    <w:sectPr>
      <w:headerReference r:id="rId3" w:type="default"/>
      <w:footerReference r:id="rId4" w:type="default"/>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F4B5B5-7B8F-4928-8A4B-0714237CF4E2}"/>
  </w:font>
  <w:font w:name="黑体">
    <w:panose1 w:val="02010609060101010101"/>
    <w:charset w:val="86"/>
    <w:family w:val="auto"/>
    <w:pitch w:val="default"/>
    <w:sig w:usb0="800002BF" w:usb1="38CF7CFA" w:usb2="00000016" w:usb3="00000000" w:csb0="00040001" w:csb1="00000000"/>
    <w:embedRegular r:id="rId2" w:fontKey="{A08C4688-D52E-443C-BF74-6CE5AE6D77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4A0B947-DB7B-44B0-9A7D-9292B7E5CC41}"/>
  </w:font>
  <w:font w:name="仿宋_GB2312">
    <w:panose1 w:val="02010609030101010101"/>
    <w:charset w:val="86"/>
    <w:family w:val="auto"/>
    <w:pitch w:val="default"/>
    <w:sig w:usb0="00000001" w:usb1="080E0000" w:usb2="00000000" w:usb3="00000000" w:csb0="00040000" w:csb1="00000000"/>
    <w:embedRegular r:id="rId4" w:fontKey="{CDAD155D-1360-42A3-AF3E-529F28126B87}"/>
  </w:font>
  <w:font w:name="方正小标宋简体">
    <w:panose1 w:val="02010600010101010101"/>
    <w:charset w:val="86"/>
    <w:family w:val="auto"/>
    <w:pitch w:val="default"/>
    <w:sig w:usb0="00000001" w:usb1="080E0000" w:usb2="00000000" w:usb3="00000000" w:csb0="00040000" w:csb1="00000000"/>
    <w:embedRegular r:id="rId5" w:fontKey="{4AF3C408-2C30-46AD-B059-953064E12983}"/>
  </w:font>
  <w:font w:name="ArialUnicodeMS">
    <w:altName w:val="宋体"/>
    <w:panose1 w:val="00000000000000000000"/>
    <w:charset w:val="86"/>
    <w:family w:val="auto"/>
    <w:pitch w:val="default"/>
    <w:sig w:usb0="00000000" w:usb1="00000000" w:usb2="00000010" w:usb3="00000000" w:csb0="00040000" w:csb1="00000000"/>
    <w:embedRegular r:id="rId6" w:fontKey="{07216CF0-5DAD-4546-BE40-76976014B213}"/>
  </w:font>
  <w:font w:name="楷体_GB2312">
    <w:panose1 w:val="02010609030101010101"/>
    <w:charset w:val="86"/>
    <w:family w:val="auto"/>
    <w:pitch w:val="default"/>
    <w:sig w:usb0="00000001" w:usb1="080E0000" w:usb2="00000000" w:usb3="00000000" w:csb0="00040000" w:csb1="00000000"/>
    <w:embedRegular r:id="rId7" w:fontKey="{D1B665C3-9A5D-4C4F-B521-3190E415F0DA}"/>
  </w:font>
  <w:font w:name="仿宋">
    <w:panose1 w:val="02010609060101010101"/>
    <w:charset w:val="86"/>
    <w:family w:val="auto"/>
    <w:pitch w:val="default"/>
    <w:sig w:usb0="800002BF" w:usb1="38CF7CFA" w:usb2="00000016" w:usb3="00000000" w:csb0="00040001" w:csb1="00000000"/>
    <w:embedRegular r:id="rId8" w:fontKey="{28589289-F2F7-491F-8626-7EA267EE773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735F">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7466">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6A52B8B8">
                          <w:r>
                            <w:t>ImpTraceLabel=PD94bWwgdmVyc2lvbj0nMS4wJyBlbmNvZGluZz0nVVRGLTgnPz48dHJhY2U+PGNvbnRlbnQ+PC9jb250ZW50PjxhY2NvdW50Png3amxocHN6bXIzYjdqYWNwamh5YWg8L2FjY291bnQ+PG1hY2hpbmVDb2RlPkszODkyODIxMDcwOTIKPC9tYWNoaW5lQ29kZT48dGltZT4yMDI1LTA4LTExIDE2OjUzOjI1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oqH5uzQAAAP8AAAAPAAAAAAAAAAEAIAAAACIA&#10;AABkcnMvZG93bnJldi54bWxQSwECFAAUAAAACACHTuJAxgJ0RqIBAABFAwAADgAAAAAAAAABACAA&#10;AAAcAQAAZHJzL2Uyb0RvYy54bWxQSwUGAAAAAAYABgBZAQAAMAUAAAAA&#10;">
              <v:fill on="f" focussize="0,0"/>
              <v:stroke on="f"/>
              <v:imagedata o:title=""/>
              <o:lock v:ext="edit" aspectratio="f"/>
              <v:textbox>
                <w:txbxContent>
                  <w:p w14:paraId="6A52B8B8">
                    <w:r>
                      <w:t>ImpTraceLabel=PD94bWwgdmVyc2lvbj0nMS4wJyBlbmNvZGluZz0nVVRGLTgnPz48dHJhY2U+PGNvbnRlbnQ+PC9jb250ZW50PjxhY2NvdW50Png3amxocHN6bXIzYjdqYWNwamh5YWg8L2FjY291bnQ+PG1hY2hpbmVDb2RlPkszODkyODIxMDcwOTIKPC9tYWNoaW5lQ29kZT48dGltZT4yMDI1LTA4LTExIDE2OjUz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0D246"/>
    <w:multiLevelType w:val="singleLevel"/>
    <w:tmpl w:val="B920D2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769B4"/>
    <w:rsid w:val="00C21B7D"/>
    <w:rsid w:val="02F516EA"/>
    <w:rsid w:val="02F65855"/>
    <w:rsid w:val="09475E50"/>
    <w:rsid w:val="11273B5F"/>
    <w:rsid w:val="17F453F5"/>
    <w:rsid w:val="192930F4"/>
    <w:rsid w:val="1FBE3E2D"/>
    <w:rsid w:val="26577400"/>
    <w:rsid w:val="2A923097"/>
    <w:rsid w:val="32F77146"/>
    <w:rsid w:val="33AD3AD9"/>
    <w:rsid w:val="3679313E"/>
    <w:rsid w:val="403F7575"/>
    <w:rsid w:val="445830DA"/>
    <w:rsid w:val="49E414FC"/>
    <w:rsid w:val="550B43E5"/>
    <w:rsid w:val="6193256B"/>
    <w:rsid w:val="6F3841E8"/>
    <w:rsid w:val="701C6655"/>
    <w:rsid w:val="72D6323E"/>
    <w:rsid w:val="753769B4"/>
    <w:rsid w:val="7BAA42FA"/>
    <w:rsid w:val="7CFF010F"/>
    <w:rsid w:val="7E79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o Spacing"/>
    <w:basedOn w:val="1"/>
    <w:qFormat/>
    <w:uiPriority w:val="0"/>
    <w:pPr>
      <w:widowControl/>
      <w:spacing w:before="0" w:beforeAutospacing="0" w:after="0" w:afterAutospacing="0"/>
      <w:ind w:left="0" w:right="0" w:firstLine="200" w:firstLineChars="200"/>
      <w:jc w:val="left"/>
    </w:pPr>
    <w:rPr>
      <w:rFonts w:hint="default" w:ascii="Times New Roman" w:hAnsi="Times New Roman" w:eastAsia="仿宋_GB2312" w:cs="Times New Roman"/>
      <w:kern w:val="0"/>
      <w:sz w:val="30"/>
      <w:szCs w:val="30"/>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6583</Words>
  <Characters>7537</Characters>
  <Lines>0</Lines>
  <Paragraphs>0</Paragraphs>
  <TotalTime>25</TotalTime>
  <ScaleCrop>false</ScaleCrop>
  <LinksUpToDate>false</LinksUpToDate>
  <CharactersWithSpaces>7563</CharactersWithSpaces>
  <Application>WPS Office_12.1.0.21915_F1E327BC-269C-435d-A152-05C5408002CA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2025-08-19T02:58:00Z</dcterms:created>
  <dc:creator>lilykinsey</dc:creator>
  <lastModifiedBy>WPS_1602062177</lastModifiedBy>
  <dcterms:modified xsi:type="dcterms:W3CDTF">2025-08-21T02:14:38Z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A20C77FD037847398C37B3D2FCCFA5D4_13</vt:lpwstr>
  </property>
  <property fmtid="{D5CDD505-2E9C-101B-9397-08002B2CF9AE}" pid="4" name="KSOTemplateDocerSaveRecord">
    <vt:lpwstr>eyJoZGlkIjoiODk3YWMzM2JhZjRmN2VkZjViZGI4OTg0OTQ2ZGU5MDYiLCJ1c2VySWQiOiIxMTI4MTgzNzI1In0=</vt:lpwstr>
  </property>
</Properties>
</file>