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3   </w:t>
      </w:r>
      <w:bookmarkStart w:id="2" w:name="_GoBack"/>
      <w:bookmarkEnd w:id="2"/>
      <w:r>
        <w:rPr>
          <w:rFonts w:hint="eastAsia" w:ascii="黑体" w:hAnsi="黑体" w:eastAsia="黑体" w:cs="黑体"/>
          <w:color w:val="000000" w:themeColor="text1"/>
          <w:kern w:val="0"/>
          <w:sz w:val="32"/>
          <w:szCs w:val="32"/>
          <w:lang w:val="en-US" w:eastAsia="zh-CN"/>
          <w14:textFill>
            <w14:solidFill>
              <w14:schemeClr w14:val="tx1"/>
            </w14:solidFill>
          </w14:textFill>
        </w:rPr>
        <w:t>2022年自治区本级部门决算公开</w:t>
      </w:r>
    </w:p>
    <w:p>
      <w:pPr>
        <w:rPr>
          <w:rFonts w:hint="default" w:ascii="黑体" w:hAnsi="黑体" w:eastAsia="黑体" w:cs="黑体"/>
          <w:color w:val="000000" w:themeColor="text1"/>
          <w:kern w:val="0"/>
          <w:sz w:val="32"/>
          <w:szCs w:val="32"/>
          <w:lang w:val="en-US" w:eastAsia="zh-CN"/>
          <w14:textFill>
            <w14:solidFill>
              <w14:schemeClr w14:val="tx1"/>
            </w14:solidFill>
          </w14:textFill>
        </w:rPr>
      </w:pPr>
    </w:p>
    <w:p>
      <w:pPr>
        <w:rPr>
          <w:rFonts w:hint="eastAsia" w:ascii="黑体" w:eastAsia="黑体" w:cs="ArialUnicodeMS"/>
          <w:color w:val="000000" w:themeColor="text1"/>
          <w:kern w:val="0"/>
          <w:sz w:val="72"/>
          <w:szCs w:val="72"/>
          <w14:textFill>
            <w14:solidFill>
              <w14:schemeClr w14:val="tx1"/>
            </w14:solidFill>
          </w14:textFill>
        </w:rPr>
      </w:pPr>
    </w:p>
    <w:p>
      <w:pPr>
        <w:rPr>
          <w:rFonts w:hint="eastAsia" w:ascii="黑体" w:eastAsia="黑体" w:cs="ArialUnicodeMS"/>
          <w:color w:val="000000" w:themeColor="text1"/>
          <w:kern w:val="0"/>
          <w:sz w:val="72"/>
          <w:szCs w:val="72"/>
          <w14:textFill>
            <w14:solidFill>
              <w14:schemeClr w14:val="tx1"/>
            </w14:solidFill>
          </w14:textFill>
        </w:rPr>
      </w:pPr>
    </w:p>
    <w:p>
      <w:pPr>
        <w:jc w:val="center"/>
        <w:rPr>
          <w:rFonts w:hint="eastAsia" w:ascii="方正小标宋简体" w:eastAsia="方正小标宋简体" w:cs="ArialUnicodeMS"/>
          <w:color w:val="000000" w:themeColor="text1"/>
          <w:kern w:val="0"/>
          <w:sz w:val="52"/>
          <w:szCs w:val="52"/>
          <w14:textFill>
            <w14:solidFill>
              <w14:schemeClr w14:val="tx1"/>
            </w14:solidFill>
          </w14:textFill>
        </w:rPr>
      </w:pPr>
      <w:r>
        <w:rPr>
          <w:rFonts w:hint="eastAsia" w:ascii="方正小标宋简体" w:eastAsia="方正小标宋简体" w:cs="ArialUnicodeMS"/>
          <w:color w:val="000000" w:themeColor="text1"/>
          <w:kern w:val="0"/>
          <w:sz w:val="52"/>
          <w:szCs w:val="52"/>
          <w:lang w:val="en-US" w:eastAsia="zh-CN"/>
          <w14:textFill>
            <w14:solidFill>
              <w14:schemeClr w14:val="tx1"/>
            </w14:solidFill>
          </w14:textFill>
        </w:rPr>
        <w:t>梧州学院</w:t>
      </w:r>
      <w:r>
        <w:rPr>
          <w:rFonts w:hint="eastAsia" w:ascii="方正小标宋简体" w:eastAsia="方正小标宋简体"/>
          <w:color w:val="000000" w:themeColor="text1"/>
          <w:kern w:val="0"/>
          <w:sz w:val="52"/>
          <w:szCs w:val="52"/>
          <w14:textFill>
            <w14:solidFill>
              <w14:schemeClr w14:val="tx1"/>
            </w14:solidFill>
          </w14:textFill>
        </w:rPr>
        <w:t>2022</w:t>
      </w:r>
      <w:r>
        <w:rPr>
          <w:rFonts w:hint="eastAsia" w:ascii="方正小标宋简体" w:eastAsia="方正小标宋简体" w:cs="ArialUnicodeMS"/>
          <w:color w:val="000000" w:themeColor="text1"/>
          <w:kern w:val="0"/>
          <w:sz w:val="52"/>
          <w:szCs w:val="52"/>
          <w14:textFill>
            <w14:solidFill>
              <w14:schemeClr w14:val="tx1"/>
            </w14:solidFill>
          </w14:textFill>
        </w:rPr>
        <w:t>年度部门决算</w:t>
      </w:r>
    </w:p>
    <w:p>
      <w:pPr>
        <w:rPr>
          <w:rFonts w:hint="eastAsia" w:ascii="方正小标宋简体" w:eastAsia="方正小标宋简体" w:cs="ArialUnicodeMS"/>
          <w:color w:val="000000" w:themeColor="text1"/>
          <w:kern w:val="0"/>
          <w:sz w:val="84"/>
          <w:szCs w:val="84"/>
          <w14:textFill>
            <w14:solidFill>
              <w14:schemeClr w14:val="tx1"/>
            </w14:solidFill>
          </w14:textFill>
        </w:rPr>
      </w:pPr>
    </w:p>
    <w:p>
      <w:pPr>
        <w:rPr>
          <w:rFonts w:hint="eastAsia" w:ascii="ArialUnicodeMS" w:eastAsia="ArialUnicodeMS" w:cs="ArialUnicodeMS"/>
          <w:color w:val="000000" w:themeColor="text1"/>
          <w:kern w:val="0"/>
          <w:sz w:val="84"/>
          <w:szCs w:val="84"/>
          <w14:textFill>
            <w14:solidFill>
              <w14:schemeClr w14:val="tx1"/>
            </w14:solidFill>
          </w14:textFill>
        </w:rPr>
      </w:pPr>
    </w:p>
    <w:p>
      <w:pPr>
        <w:rPr>
          <w:rFonts w:hint="eastAsia" w:ascii="ArialUnicodeMS" w:eastAsia="ArialUnicodeMS" w:cs="ArialUnicodeMS"/>
          <w:color w:val="000000" w:themeColor="text1"/>
          <w:kern w:val="0"/>
          <w:sz w:val="84"/>
          <w:szCs w:val="84"/>
          <w14:textFill>
            <w14:solidFill>
              <w14:schemeClr w14:val="tx1"/>
            </w14:solidFill>
          </w14:textFill>
        </w:rPr>
      </w:pPr>
    </w:p>
    <w:p>
      <w:pPr>
        <w:rPr>
          <w:rFonts w:hint="eastAsia" w:ascii="ArialUnicodeMS" w:eastAsia="ArialUnicodeMS" w:cs="ArialUnicodeMS"/>
          <w:color w:val="000000" w:themeColor="text1"/>
          <w:kern w:val="0"/>
          <w:sz w:val="84"/>
          <w:szCs w:val="84"/>
          <w14:textFill>
            <w14:solidFill>
              <w14:schemeClr w14:val="tx1"/>
            </w14:solidFill>
          </w14:textFill>
        </w:rPr>
      </w:pPr>
    </w:p>
    <w:p>
      <w:pPr>
        <w:rPr>
          <w:rFonts w:hint="eastAsia" w:ascii="ArialUnicodeMS" w:eastAsia="ArialUnicodeMS" w:cs="ArialUnicodeMS"/>
          <w:color w:val="000000" w:themeColor="text1"/>
          <w:kern w:val="0"/>
          <w:sz w:val="84"/>
          <w:szCs w:val="84"/>
          <w14:textFill>
            <w14:solidFill>
              <w14:schemeClr w14:val="tx1"/>
            </w14:solidFill>
          </w14:textFill>
        </w:rPr>
      </w:pPr>
    </w:p>
    <w:p>
      <w:pPr>
        <w:jc w:val="center"/>
        <w:rPr>
          <w:rFonts w:hint="eastAsia" w:ascii="黑体" w:eastAsia="黑体" w:cs="黑体"/>
          <w:color w:val="000000" w:themeColor="text1"/>
          <w:kern w:val="0"/>
          <w:sz w:val="44"/>
          <w:szCs w:val="44"/>
          <w14:textFill>
            <w14:solidFill>
              <w14:schemeClr w14:val="tx1"/>
            </w14:solidFill>
          </w14:textFill>
        </w:rPr>
      </w:pPr>
    </w:p>
    <w:p>
      <w:pPr>
        <w:jc w:val="center"/>
        <w:rPr>
          <w:rFonts w:hint="eastAsia" w:ascii="黑体" w:eastAsia="黑体" w:cs="黑体"/>
          <w:color w:val="000000" w:themeColor="text1"/>
          <w:kern w:val="0"/>
          <w:sz w:val="44"/>
          <w:szCs w:val="44"/>
          <w14:textFill>
            <w14:solidFill>
              <w14:schemeClr w14:val="tx1"/>
            </w14:solidFill>
          </w14:textFill>
        </w:rPr>
      </w:pPr>
    </w:p>
    <w:p>
      <w:pPr>
        <w:ind w:firstLine="646"/>
        <w:jc w:val="center"/>
        <w:rPr>
          <w:rFonts w:hint="eastAsia" w:ascii="方正小标宋简体" w:eastAsia="方正小标宋简体"/>
          <w:b/>
          <w:color w:val="000000" w:themeColor="text1"/>
          <w:sz w:val="44"/>
          <w:szCs w:val="44"/>
          <w14:textFill>
            <w14:solidFill>
              <w14:schemeClr w14:val="tx1"/>
            </w14:solidFill>
          </w14:textFill>
        </w:rPr>
      </w:pPr>
    </w:p>
    <w:p>
      <w:pPr>
        <w:ind w:firstLine="646"/>
        <w:jc w:val="center"/>
        <w:rPr>
          <w:rFonts w:hint="eastAsia" w:ascii="方正小标宋简体" w:eastAsia="方正小标宋简体"/>
          <w:b/>
          <w:color w:val="000000" w:themeColor="text1"/>
          <w:sz w:val="44"/>
          <w:szCs w:val="44"/>
          <w14:textFill>
            <w14:solidFill>
              <w14:schemeClr w14:val="tx1"/>
            </w14:solidFill>
          </w14:textFill>
        </w:rPr>
      </w:pPr>
    </w:p>
    <w:p>
      <w:pPr>
        <w:ind w:firstLine="646"/>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目    录</w:t>
      </w:r>
    </w:p>
    <w:p>
      <w:pPr>
        <w:ind w:firstLine="645"/>
        <w:rPr>
          <w:rFonts w:hint="eastAsia" w:ascii="仿宋_GB2312" w:eastAsia="仿宋_GB2312"/>
          <w:b/>
          <w:color w:val="000000" w:themeColor="text1"/>
          <w:sz w:val="32"/>
          <w:szCs w:val="32"/>
          <w14:textFill>
            <w14:solidFill>
              <w14:schemeClr w14:val="tx1"/>
            </w14:solidFill>
          </w14:textFill>
        </w:rPr>
      </w:pPr>
    </w:p>
    <w:p>
      <w:pPr>
        <w:ind w:firstLine="64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概况</w:t>
      </w:r>
    </w:p>
    <w:p>
      <w:pPr>
        <w:numPr>
          <w:ilvl w:val="0"/>
          <w:numId w:val="1"/>
        </w:numPr>
        <w:ind w:firstLine="645"/>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本部门职责</w:t>
      </w:r>
    </w:p>
    <w:p>
      <w:pPr>
        <w:numPr>
          <w:ilvl w:val="0"/>
          <w:numId w:val="1"/>
        </w:numPr>
        <w:ind w:left="0" w:leftChars="0" w:firstLine="645" w:firstLineChars="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机构设置情况</w:t>
      </w:r>
    </w:p>
    <w:p>
      <w:pPr>
        <w:ind w:firstLine="64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2022年度部门决算报表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表一：收入支出决算总表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表二：收入决算表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表三：支出决算表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表四：财政拨款收入支出决算总表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表五：一般公共预算财政拨款支出决算表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表六：一般公共预算财政拨款基本支出决算明细表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表七：政府性基金</w:t>
      </w:r>
      <w:r>
        <w:rPr>
          <w:rFonts w:hint="eastAsia" w:ascii="仿宋_GB2312" w:hAnsi="黑体" w:eastAsia="仿宋_GB2312"/>
          <w:color w:val="000000" w:themeColor="text1"/>
          <w:sz w:val="32"/>
          <w:szCs w:val="32"/>
          <w14:textFill>
            <w14:solidFill>
              <w14:schemeClr w14:val="tx1"/>
            </w14:solidFill>
          </w14:textFill>
        </w:rPr>
        <w:t>预算财政拨款</w:t>
      </w:r>
      <w:r>
        <w:rPr>
          <w:rFonts w:hint="eastAsia" w:ascii="仿宋_GB2312" w:eastAsia="仿宋_GB2312"/>
          <w:color w:val="000000" w:themeColor="text1"/>
          <w:sz w:val="32"/>
          <w:szCs w:val="32"/>
          <w14:textFill>
            <w14:solidFill>
              <w14:schemeClr w14:val="tx1"/>
            </w14:solidFill>
          </w14:textFill>
        </w:rPr>
        <w:t>收入支出决算表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表八：国有资本经营预算</w:t>
      </w:r>
      <w:r>
        <w:rPr>
          <w:rFonts w:hint="eastAsia" w:ascii="仿宋_GB2312" w:hAnsi="黑体" w:eastAsia="仿宋_GB2312"/>
          <w:color w:val="000000" w:themeColor="text1"/>
          <w:sz w:val="32"/>
          <w:szCs w:val="32"/>
          <w14:textFill>
            <w14:solidFill>
              <w14:schemeClr w14:val="tx1"/>
            </w14:solidFill>
          </w14:textFill>
        </w:rPr>
        <w:t>财政拨款</w:t>
      </w:r>
      <w:r>
        <w:rPr>
          <w:rFonts w:hint="eastAsia" w:ascii="仿宋_GB2312" w:eastAsia="仿宋_GB2312"/>
          <w:color w:val="000000" w:themeColor="text1"/>
          <w:sz w:val="32"/>
          <w:szCs w:val="32"/>
          <w14:textFill>
            <w14:solidFill>
              <w14:schemeClr w14:val="tx1"/>
            </w14:solidFill>
          </w14:textFill>
        </w:rPr>
        <w:t>支出决算表</w:t>
      </w:r>
    </w:p>
    <w:p>
      <w:pPr>
        <w:ind w:left="645"/>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表九：财政拨款安排的“三公”经费支出决算表</w:t>
      </w:r>
    </w:p>
    <w:p>
      <w:pPr>
        <w:ind w:firstLine="64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2022年度部门决算情况说明</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w:t>
      </w:r>
      <w:r>
        <w:rPr>
          <w:rFonts w:hint="eastAsia" w:ascii="仿宋_GB2312" w:eastAsia="仿宋_GB2312"/>
          <w:color w:val="000000" w:themeColor="text1"/>
          <w:kern w:val="0"/>
          <w:sz w:val="32"/>
          <w:szCs w:val="32"/>
          <w14:textFill>
            <w14:solidFill>
              <w14:schemeClr w14:val="tx1"/>
            </w14:solidFill>
          </w14:textFill>
        </w:rPr>
        <w:t xml:space="preserve">2022 </w:t>
      </w:r>
      <w:r>
        <w:rPr>
          <w:rFonts w:hint="eastAsia" w:ascii="仿宋_GB2312" w:eastAsia="仿宋_GB2312" w:cs="仿宋_GB2312"/>
          <w:color w:val="000000" w:themeColor="text1"/>
          <w:kern w:val="0"/>
          <w:sz w:val="32"/>
          <w:szCs w:val="32"/>
          <w14:textFill>
            <w14:solidFill>
              <w14:schemeClr w14:val="tx1"/>
            </w14:solidFill>
          </w14:textFill>
        </w:rPr>
        <w:t>年度收入支出决算总体情况。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kern w:val="0"/>
          <w:sz w:val="32"/>
          <w:szCs w:val="32"/>
          <w14:textFill>
            <w14:solidFill>
              <w14:schemeClr w14:val="tx1"/>
            </w14:solidFill>
          </w14:textFill>
        </w:rPr>
        <w:t xml:space="preserve">2022 </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公共预算财政拨款支出决算情况。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三、2022年度一般公共预算财政拨款基本支出决算情况说明。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四、</w:t>
      </w:r>
      <w:r>
        <w:rPr>
          <w:rFonts w:hint="eastAsia" w:ascii="仿宋_GB2312" w:eastAsia="仿宋_GB2312"/>
          <w:color w:val="000000" w:themeColor="text1"/>
          <w:kern w:val="0"/>
          <w:sz w:val="32"/>
          <w:szCs w:val="32"/>
          <w14:textFill>
            <w14:solidFill>
              <w14:schemeClr w14:val="tx1"/>
            </w14:solidFill>
          </w14:textFill>
        </w:rPr>
        <w:t xml:space="preserve">2022 </w:t>
      </w:r>
      <w:r>
        <w:rPr>
          <w:rFonts w:hint="eastAsia" w:ascii="仿宋_GB2312" w:eastAsia="仿宋_GB2312" w:cs="仿宋_GB2312"/>
          <w:color w:val="000000" w:themeColor="text1"/>
          <w:kern w:val="0"/>
          <w:sz w:val="32"/>
          <w:szCs w:val="32"/>
          <w14:textFill>
            <w14:solidFill>
              <w14:schemeClr w14:val="tx1"/>
            </w14:solidFill>
          </w14:textFill>
        </w:rPr>
        <w:t>年度政府性基金支出决算情况。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五、2022年度国有资本经营预算支出决算情况</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六、财政拨款安排的“三公”经费支出决算情况说明。</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七、其他重要事项情况说明。</w:t>
      </w:r>
    </w:p>
    <w:p>
      <w:pPr>
        <w:autoSpaceDE w:val="0"/>
        <w:autoSpaceDN w:val="0"/>
        <w:adjustRightInd w:val="0"/>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eastAsia="zh-CN"/>
          <w14:textFill>
            <w14:solidFill>
              <w14:schemeClr w14:val="tx1"/>
            </w14:solidFill>
          </w14:textFill>
        </w:rPr>
        <w:t>八、</w:t>
      </w:r>
      <w:r>
        <w:rPr>
          <w:rFonts w:hint="eastAsia" w:ascii="仿宋_GB2312" w:eastAsia="仿宋_GB2312" w:cs="仿宋_GB2312"/>
          <w:color w:val="000000" w:themeColor="text1"/>
          <w:kern w:val="0"/>
          <w:sz w:val="32"/>
          <w:szCs w:val="32"/>
          <w14:textFill>
            <w14:solidFill>
              <w14:schemeClr w14:val="tx1"/>
            </w14:solidFill>
          </w14:textFill>
        </w:rPr>
        <w:t>预算绩效管理工作开展情况。</w:t>
      </w:r>
    </w:p>
    <w:p>
      <w:pPr>
        <w:autoSpaceDE w:val="0"/>
        <w:autoSpaceDN w:val="0"/>
        <w:adjustRightInd w:val="0"/>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第四部分：名词解释</w:t>
      </w:r>
    </w:p>
    <w:p>
      <w:pPr>
        <w:jc w:val="center"/>
        <w:rPr>
          <w:rFonts w:hint="eastAsia" w:ascii="仿宋_GB2312" w:eastAsia="仿宋_GB2312"/>
          <w:color w:val="000000" w:themeColor="text1"/>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rPr>
          <w:rFonts w:hint="eastAsia" w:ascii="仿宋_GB2312" w:eastAsia="仿宋_GB2312"/>
          <w:b/>
          <w:color w:val="000000" w:themeColor="text1"/>
          <w:sz w:val="32"/>
          <w:szCs w:val="32"/>
          <w14:textFill>
            <w14:solidFill>
              <w14:schemeClr w14:val="tx1"/>
            </w14:solidFill>
          </w14:textFill>
        </w:rPr>
      </w:pPr>
    </w:p>
    <w:p>
      <w:pPr>
        <w:ind w:firstLine="646"/>
        <w:jc w:val="center"/>
        <w:rPr>
          <w:rFonts w:hint="eastAsia" w:ascii="黑体" w:hAnsi="黑体" w:eastAsia="黑体"/>
          <w:color w:val="000000" w:themeColor="text1"/>
          <w:sz w:val="32"/>
          <w:szCs w:val="32"/>
          <w14:textFill>
            <w14:solidFill>
              <w14:schemeClr w14:val="tx1"/>
            </w14:solidFill>
          </w14:textFill>
        </w:rPr>
      </w:pPr>
    </w:p>
    <w:p>
      <w:pPr>
        <w:ind w:firstLine="646"/>
        <w:jc w:val="center"/>
        <w:rPr>
          <w:rFonts w:hint="eastAsia" w:ascii="黑体" w:hAnsi="黑体" w:eastAsia="黑体"/>
          <w:color w:val="000000" w:themeColor="text1"/>
          <w:sz w:val="32"/>
          <w:szCs w:val="32"/>
          <w14:textFill>
            <w14:solidFill>
              <w14:schemeClr w14:val="tx1"/>
            </w14:solidFill>
          </w14:textFill>
        </w:rPr>
      </w:pPr>
    </w:p>
    <w:p>
      <w:pPr>
        <w:ind w:firstLine="646"/>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概况</w:t>
      </w:r>
    </w:p>
    <w:p>
      <w:pPr>
        <w:ind w:firstLine="646"/>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hint="eastAsia" w:ascii="黑体" w:hAnsi="黑体" w:eastAsia="黑体"/>
          <w:color w:val="000000" w:themeColor="text1"/>
          <w:sz w:val="32"/>
          <w:szCs w:val="32"/>
          <w:lang w:eastAsia="zh-CN"/>
          <w14:textFill>
            <w14:solidFill>
              <w14:schemeClr w14:val="tx1"/>
            </w14:solidFill>
          </w14:textFill>
        </w:rPr>
        <w:t>本部门职责</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ind w:right="0" w:rightChars="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梧州学院是一所多科性公办普通本科院校。学校坚持以育人为根本，以教学为中心，以人才为支撑，以服务谋发展，建成特色鲜明的应用型高水平大学。按照“实基础、适口径、重能力、能创新”要求，培养品学兼优、人文素养良好、适应社会需要、富有创新创业精神的应用型人才。立足梧州，面向两广，辐射东南亚，主动服务国家和区域发展战略。紧贴业界，校地协同，东融西联，通江达海。突出面向产业和行业、注重实践、服务地方的人才培养特色；培育校地紧密结合，与地方协同发展的办学特色；服务国家和区域发展战略，直至“通江达海”的地域特色。 </w:t>
      </w:r>
    </w:p>
    <w:p>
      <w:pPr>
        <w:ind w:firstLine="646"/>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r>
        <w:rPr>
          <w:rFonts w:hint="eastAsia" w:ascii="黑体" w:hAnsi="黑体" w:eastAsia="黑体"/>
          <w:color w:val="000000" w:themeColor="text1"/>
          <w:sz w:val="32"/>
          <w:szCs w:val="32"/>
          <w:lang w:eastAsia="zh-CN"/>
          <w14:textFill>
            <w14:solidFill>
              <w14:schemeClr w14:val="tx1"/>
            </w14:solidFill>
          </w14:textFill>
        </w:rPr>
        <w:t>机构设置情况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（一）梧州学院共有直属单位0个。</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其中：行政单位0个，局属参照公务员法管理事业单位0个，局属非参照公务员法管理全额拨款事业单位0个，局属非参照公务员法管理差额拨款事业单位0个。行政单位是0个。局属参照公务员法管理全额拨款事业单位是无。局属非参照公务员法管理差额拨款事业单位是无。</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（二）梧州学院内设机构共设35个职能行政及教学教辅部门，其中：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1.党政管理机构16个，</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 xml:space="preserve">分别是（1）党委办公室•院长办公室，（2）纪委办公室•监察室•巡察办公室，（3）党委组织部（4）党委宣传部•党委教师工作部，（5）党委统战部，（6）党委学生工作部•学生工作处•武装部，（7）人事处•离退休工作处•职改办，（8）发展规划处•研究生处，（9）教务处，（10）科研处•社科处，（11）国际交流处•港澳台事务办公室，（12）财务处，（13）审计处，（14）国有资产管理处，（15）后勤基建处，（16）保卫处；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2.群团组织机构2个，</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分别是（1）校工会，（2）共青团梧州委员会；</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3.教学单位12个</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分别是（1）宝石与艺术设计学院（宝石现代产业学院），（2）外国语学院，（3）商学院，（4）管理学院，（5）机械与资源工程学院，（6）食品与制药工程学院（六堡茶产业学院），（7）教师教育学院，（8）大数据与软件工程学院，（9）电子与信息工程学院，（10）文学与传媒学院，（11）法学院，（12）马克思主义学院；</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
          <w14:textFill>
            <w14:solidFill>
              <w14:schemeClr w14:val="tx1"/>
            </w14:solidFill>
          </w14:textFill>
        </w:rPr>
        <w:t>4.教辅单位5个，</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分别是（1）体育健康学院，（2）图书馆，（3）继续教育学院，（4）创新创业教育学院，（5）现代教育技术中心。</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14:textFill>
            <w14:solidFill>
              <w14:schemeClr w14:val="tx1"/>
            </w14:solidFill>
          </w14:textFill>
        </w:rPr>
        <w:t>人员情况，包括当年变动情况及原因。</w:t>
      </w:r>
    </w:p>
    <w:p>
      <w:pPr>
        <w:pStyle w:val="13"/>
        <w:keepNext w:val="0"/>
        <w:keepLines w:val="0"/>
        <w:pageBreakBefore w:val="0"/>
        <w:widowControl/>
        <w:suppressLineNumbers w:val="0"/>
        <w:kinsoku/>
        <w:wordWrap/>
        <w:overflowPunct/>
        <w:topLinePunct w:val="0"/>
        <w:autoSpaceDE/>
        <w:autoSpaceDN/>
        <w:bidi w:val="0"/>
        <w:adjustRightInd/>
        <w:spacing w:line="360" w:lineRule="auto"/>
        <w:ind w:left="0" w:leftChars="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cs="仿宋_GB2312"/>
          <w:b/>
          <w:bCs/>
          <w:color w:val="000000" w:themeColor="text1"/>
          <w:kern w:val="2"/>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年末学生人数17,041人（不含成人教育学生3,079人），比去年20,474人减少3,433人。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其中：</w:t>
      </w:r>
      <w:r>
        <w:rPr>
          <w:rFonts w:hint="eastAsia" w:ascii="仿宋_GB2312" w:hAnsi="仿宋_GB2312" w:eastAsia="仿宋_GB2312" w:cs="仿宋_GB2312"/>
          <w:color w:val="000000" w:themeColor="text1"/>
          <w:kern w:val="2"/>
          <w:sz w:val="32"/>
          <w:szCs w:val="32"/>
          <w14:textFill>
            <w14:solidFill>
              <w14:schemeClr w14:val="tx1"/>
            </w14:solidFill>
          </w14:textFill>
        </w:rPr>
        <w:t>本专科在校生</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16,939人，比2021年17,913</w:t>
      </w:r>
      <w:r>
        <w:rPr>
          <w:rFonts w:hint="eastAsia" w:ascii="仿宋_GB2312" w:hAnsi="仿宋_GB2312" w:eastAsia="仿宋_GB2312" w:cs="仿宋_GB2312"/>
          <w:color w:val="000000" w:themeColor="text1"/>
          <w:kern w:val="2"/>
          <w:sz w:val="32"/>
          <w:szCs w:val="32"/>
          <w14:textFill>
            <w14:solidFill>
              <w14:schemeClr w14:val="tx1"/>
            </w14:solidFill>
          </w14:textFill>
        </w:rPr>
        <w:t>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减少974人，减少原因是学校获批广西立项建设新增硕士学位授予单位（硕士A类），根据实际而减少招生人数；</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留学生</w:t>
      </w:r>
      <w:r>
        <w:rPr>
          <w:rFonts w:hint="eastAsia" w:ascii="仿宋_GB2312" w:hAnsi="仿宋_GB2312" w:eastAsia="仿宋_GB2312" w:cs="仿宋_GB2312"/>
          <w:color w:val="000000" w:themeColor="text1"/>
          <w:kern w:val="2"/>
          <w:sz w:val="32"/>
          <w:szCs w:val="32"/>
          <w14:textFill>
            <w14:solidFill>
              <w14:schemeClr w14:val="tx1"/>
            </w14:solidFill>
          </w14:textFill>
        </w:rPr>
        <w:t>学生</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102人，比</w:t>
      </w:r>
      <w:r>
        <w:rPr>
          <w:rFonts w:hint="eastAsia" w:ascii="仿宋_GB2312" w:hAnsi="仿宋_GB2312" w:eastAsia="仿宋_GB2312" w:cs="仿宋_GB2312"/>
          <w:color w:val="000000" w:themeColor="text1"/>
          <w:kern w:val="2"/>
          <w:sz w:val="32"/>
          <w:szCs w:val="32"/>
          <w14:textFill>
            <w14:solidFill>
              <w14:schemeClr w14:val="tx1"/>
            </w14:solidFill>
          </w14:textFill>
        </w:rPr>
        <w:t>126人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减少20人，减少原因是因疫情影响减少招生。两项共减少994人</w:t>
      </w:r>
      <w:r>
        <w:rPr>
          <w:rFonts w:hint="eastAsia" w:ascii="仿宋_GB2312" w:hAnsi="仿宋_GB2312" w:cs="仿宋_GB2312"/>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其余减少的2,439人</w:t>
      </w:r>
      <w:r>
        <w:rPr>
          <w:rFonts w:hint="eastAsia" w:ascii="仿宋_GB2312" w:hAnsi="仿宋_GB2312" w:cs="仿宋_GB2312"/>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是</w:t>
      </w:r>
      <w:r>
        <w:rPr>
          <w:rFonts w:hint="eastAsia" w:ascii="仿宋_GB2312" w:hAnsi="仿宋_GB2312" w:cs="仿宋_GB2312"/>
          <w:color w:val="000000" w:themeColor="text1"/>
          <w:kern w:val="2"/>
          <w:sz w:val="32"/>
          <w:szCs w:val="32"/>
          <w:lang w:val="en-US" w:eastAsia="zh-CN"/>
          <w14:textFill>
            <w14:solidFill>
              <w14:schemeClr w14:val="tx1"/>
            </w14:solidFill>
          </w14:textFill>
        </w:rPr>
        <w:t>年末学生人数不应包含</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成人教育人数</w:t>
      </w:r>
      <w:r>
        <w:rPr>
          <w:rFonts w:hint="eastAsia" w:ascii="仿宋_GB2312" w:hAnsi="仿宋_GB2312" w:cs="仿宋_GB2312"/>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去年决算误将成人教育人数</w:t>
      </w:r>
      <w:r>
        <w:rPr>
          <w:rFonts w:hint="eastAsia" w:ascii="仿宋_GB2312" w:hAnsi="仿宋_GB2312" w:cs="仿宋_GB2312"/>
          <w:color w:val="000000" w:themeColor="text1"/>
          <w:kern w:val="2"/>
          <w:sz w:val="32"/>
          <w:szCs w:val="32"/>
          <w:lang w:val="en-US" w:eastAsia="zh-CN"/>
          <w14:textFill>
            <w14:solidFill>
              <w14:schemeClr w14:val="tx1"/>
            </w14:solidFill>
          </w14:textFill>
        </w:rPr>
        <w:t>统计到填报人数，</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本年按规定纠正。</w:t>
      </w:r>
    </w:p>
    <w:p>
      <w:pPr>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 xml:space="preserve"> 2.学校</w:t>
      </w:r>
      <w:r>
        <w:rPr>
          <w:rFonts w:hint="eastAsia" w:ascii="仿宋_GB2312" w:hAnsi="仿宋_GB2312" w:eastAsia="仿宋_GB2312" w:cs="仿宋_GB2312"/>
          <w:b/>
          <w:bCs/>
          <w:color w:val="000000" w:themeColor="text1"/>
          <w:kern w:val="2"/>
          <w:sz w:val="32"/>
          <w:szCs w:val="32"/>
          <w:lang w:eastAsia="zh-CN"/>
          <w14:textFill>
            <w14:solidFill>
              <w14:schemeClr w14:val="tx1"/>
            </w14:solidFill>
          </w14:textFill>
        </w:rPr>
        <w:t>年末实有</w:t>
      </w: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教职工人数1,336人。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其中在职人员1,336人，比2021年</w:t>
      </w:r>
      <w:r>
        <w:rPr>
          <w:rFonts w:hint="eastAsia" w:ascii="仿宋_GB2312" w:hAnsi="仿宋_GB2312" w:eastAsia="仿宋_GB2312" w:cs="仿宋_GB2312"/>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236</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增</w:t>
      </w:r>
      <w:r>
        <w:rPr>
          <w:rFonts w:hint="eastAsia" w:ascii="仿宋_GB2312" w:hAnsi="仿宋_GB2312" w:eastAsia="仿宋_GB2312" w:cs="仿宋_GB2312"/>
          <w:color w:val="000000" w:themeColor="text1"/>
          <w:kern w:val="2"/>
          <w:sz w:val="32"/>
          <w:szCs w:val="32"/>
          <w14:textFill>
            <w14:solidFill>
              <w14:schemeClr w14:val="tx1"/>
            </w14:solidFill>
          </w14:textFill>
        </w:rPr>
        <w:t>多</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kern w:val="2"/>
          <w:sz w:val="32"/>
          <w:szCs w:val="32"/>
          <w14:textFill>
            <w14:solidFill>
              <w14:schemeClr w14:val="tx1"/>
            </w14:solidFill>
          </w14:textFill>
        </w:rPr>
        <w:t>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增加原因是根据申硕建设需要配足高层次人才；一般公共预算财政拨款开支人员736人，经费自理人员600人，年末遗属人员3人。</w:t>
      </w:r>
    </w:p>
    <w:p>
      <w:pPr>
        <w:jc w:val="center"/>
        <w:rPr>
          <w:rFonts w:hint="eastAsia"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 xml:space="preserve"> 2022年度部门决算报表</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《收入决算表》《支出决算表》《一般公共预算财政拨款支出决算表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政府性基金预算财政拨款收入支出决算表》和《国有资本经营预算财政拨款收入支出决算表》细化公开到支出功能分类项级科目，《一般公共预算财政拨款基本支出决算表》细化公开到经济分类款级科目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详见附件：自治区本级2022年度部门决算公开附表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第三部分：</w:t>
      </w:r>
      <w:r>
        <w:rPr>
          <w:rFonts w:hint="eastAsia" w:ascii="黑体" w:hAnsi="黑体" w:eastAsia="黑体"/>
          <w:bCs/>
          <w:color w:val="000000" w:themeColor="text1"/>
          <w:sz w:val="32"/>
          <w:szCs w:val="32"/>
          <w:u w:val="single"/>
          <w:lang w:val="en-US" w:eastAsia="zh-CN"/>
          <w14:textFill>
            <w14:solidFill>
              <w14:schemeClr w14:val="tx1"/>
            </w14:solidFill>
          </w14:textFill>
        </w:rPr>
        <w:t>梧州学院</w:t>
      </w:r>
      <w:r>
        <w:rPr>
          <w:rFonts w:hint="eastAsia" w:ascii="黑体" w:hAnsi="黑体" w:eastAsia="黑体"/>
          <w:color w:val="000000" w:themeColor="text1"/>
          <w:sz w:val="32"/>
          <w:szCs w:val="32"/>
          <w14:textFill>
            <w14:solidFill>
              <w14:schemeClr w14:val="tx1"/>
            </w14:solidFill>
          </w14:textFill>
        </w:rPr>
        <w:t>2022年度部门决算情况说明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一、</w:t>
      </w:r>
      <w:r>
        <w:rPr>
          <w:rFonts w:hint="eastAsia" w:ascii="黑体" w:hAnsi="黑体" w:eastAsia="黑体"/>
          <w:color w:val="000000" w:themeColor="text1"/>
          <w:kern w:val="0"/>
          <w:sz w:val="32"/>
          <w:szCs w:val="32"/>
          <w14:textFill>
            <w14:solidFill>
              <w14:schemeClr w14:val="tx1"/>
            </w14:solidFill>
          </w14:textFill>
        </w:rPr>
        <w:t>2022</w:t>
      </w:r>
      <w:r>
        <w:rPr>
          <w:rFonts w:hint="eastAsia" w:ascii="黑体" w:hAnsi="黑体" w:eastAsia="黑体" w:cs="仿宋_GB2312"/>
          <w:color w:val="000000" w:themeColor="text1"/>
          <w:kern w:val="0"/>
          <w:sz w:val="32"/>
          <w:szCs w:val="32"/>
          <w14:textFill>
            <w14:solidFill>
              <w14:schemeClr w14:val="tx1"/>
            </w14:solidFill>
          </w14:textFill>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（一）本部门2022年度总收入70</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231.2万元，其中本年收入  69</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993.2万元</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较</w:t>
      </w:r>
      <w:r>
        <w:rPr>
          <w:rFonts w:hint="eastAsia" w:ascii="仿宋_GB2312" w:hAnsi="仿宋_GB2312" w:eastAsia="仿宋_GB2312" w:cs="仿宋_GB2312"/>
          <w:b/>
          <w:bCs/>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b/>
          <w:bCs/>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16,846.13</w:t>
      </w:r>
      <w:r>
        <w:rPr>
          <w:rFonts w:hint="eastAsia" w:ascii="仿宋_GB2312" w:hAnsi="仿宋_GB2312" w:eastAsia="仿宋_GB2312" w:cs="仿宋_GB2312"/>
          <w:b/>
          <w:bCs/>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31.56</w:t>
      </w:r>
      <w:r>
        <w:rPr>
          <w:rFonts w:hint="eastAsia" w:ascii="仿宋_GB2312" w:hAnsi="仿宋_GB2312" w:eastAsia="仿宋_GB2312" w:cs="仿宋_GB2312"/>
          <w:b/>
          <w:bCs/>
          <w:color w:val="000000" w:themeColor="text1"/>
          <w:kern w:val="0"/>
          <w:sz w:val="32"/>
          <w:szCs w:val="32"/>
          <w14:textFill>
            <w14:solidFill>
              <w14:schemeClr w14:val="tx1"/>
            </w14:solidFill>
          </w14:textFill>
        </w:rPr>
        <w:t>%。收入具体情况如下</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1.一般公共预算财政拨款收入21</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547.51万元，为自治区本级财政当年拨付的资金。</w:t>
      </w:r>
      <w:r>
        <w:rPr>
          <w:rFonts w:hint="eastAsia" w:ascii="仿宋_GB2312" w:hAnsi="仿宋_GB2312" w:eastAsia="仿宋_GB2312" w:cs="仿宋_GB2312"/>
          <w:color w:val="000000" w:themeColor="text1"/>
          <w:kern w:val="0"/>
          <w:sz w:val="32"/>
          <w:szCs w:val="32"/>
          <w14:textFill>
            <w14:solidFill>
              <w14:schemeClr w14:val="tx1"/>
            </w14:solidFill>
          </w14:textFill>
        </w:rPr>
        <w:t>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852.40</w:t>
      </w:r>
      <w:r>
        <w:rPr>
          <w:rFonts w:hint="eastAsia" w:ascii="仿宋_GB2312" w:hAnsi="仿宋_GB2312" w:eastAsia="仿宋_GB2312" w:cs="仿宋_GB2312"/>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kern w:val="0"/>
          <w:sz w:val="32"/>
          <w:szCs w:val="32"/>
          <w14:textFill>
            <w14:solidFill>
              <w14:schemeClr w14:val="tx1"/>
            </w14:solidFill>
          </w14:textFill>
        </w:rPr>
        <w:t>一般公共预算财政拨款收入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增加8,954.80万元，中央</w:t>
      </w:r>
      <w:r>
        <w:rPr>
          <w:rFonts w:hint="eastAsia" w:ascii="仿宋_GB2312" w:hAnsi="仿宋_GB2312" w:eastAsia="仿宋_GB2312" w:cs="仿宋_GB2312"/>
          <w:color w:val="000000" w:themeColor="text1"/>
          <w:kern w:val="0"/>
          <w:sz w:val="32"/>
          <w:szCs w:val="32"/>
          <w14:textFill>
            <w14:solidFill>
              <w14:schemeClr w14:val="tx1"/>
            </w14:solidFill>
          </w14:textFill>
        </w:rPr>
        <w:t>一般公共预算财政拨款收入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增加331.46万元，梧州市</w:t>
      </w:r>
      <w:r>
        <w:rPr>
          <w:rFonts w:hint="eastAsia" w:ascii="仿宋_GB2312" w:hAnsi="仿宋_GB2312" w:eastAsia="仿宋_GB2312" w:cs="仿宋_GB2312"/>
          <w:color w:val="000000" w:themeColor="text1"/>
          <w:kern w:val="0"/>
          <w:sz w:val="32"/>
          <w:szCs w:val="32"/>
          <w14:textFill>
            <w14:solidFill>
              <w14:schemeClr w14:val="tx1"/>
            </w14:solidFill>
          </w14:textFill>
        </w:rPr>
        <w:t>一般公共预算财政拨款收入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减少8,433.86万元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2.政府性基金预算财政拨款收入</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万元，为自治区本级财政当年拨付的资金。</w:t>
      </w:r>
      <w:r>
        <w:rPr>
          <w:rFonts w:hint="eastAsia" w:ascii="仿宋_GB2312" w:hAnsi="仿宋_GB2312" w:eastAsia="仿宋_GB2312" w:cs="仿宋_GB2312"/>
          <w:color w:val="000000" w:themeColor="text1"/>
          <w:kern w:val="0"/>
          <w:sz w:val="32"/>
          <w:szCs w:val="32"/>
          <w14:textFill>
            <w14:solidFill>
              <w14:schemeClr w14:val="tx1"/>
            </w14:solidFill>
          </w14:textFill>
        </w:rPr>
        <w:t>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468.65万元，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下降100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%，主要原因是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2021年归属梧州市财政局管理，地方政府专项债收入归集</w:t>
      </w:r>
      <w:r>
        <w:rPr>
          <w:rFonts w:hint="eastAsia" w:ascii="仿宋_GB2312" w:hAnsi="仿宋_GB2312" w:eastAsia="仿宋_GB2312" w:cs="仿宋_GB2312"/>
          <w:color w:val="000000" w:themeColor="text1"/>
          <w:kern w:val="0"/>
          <w:sz w:val="32"/>
          <w:szCs w:val="32"/>
          <w14:textFill>
            <w14:solidFill>
              <w14:schemeClr w14:val="tx1"/>
            </w14:solidFill>
          </w14:textFill>
        </w:rPr>
        <w:t>政府性基金预算财政拨款收入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填报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2022年上划自治区直属管理后，梧州市地方政府专项债收入归集其他收入填报</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3.事业收入14</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681.74万元，为事业单位开展业务活动取得的收入。</w:t>
      </w:r>
      <w:r>
        <w:rPr>
          <w:rFonts w:hint="eastAsia" w:ascii="仿宋_GB2312" w:hAnsi="仿宋_GB2312" w:eastAsia="仿宋_GB2312" w:cs="仿宋_GB2312"/>
          <w:color w:val="000000" w:themeColor="text1"/>
          <w:kern w:val="0"/>
          <w:sz w:val="32"/>
          <w:szCs w:val="32"/>
          <w14:textFill>
            <w14:solidFill>
              <w14:schemeClr w14:val="tx1"/>
            </w14:solidFill>
          </w14:textFill>
        </w:rPr>
        <w:t>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5,347.45</w:t>
      </w:r>
      <w:r>
        <w:rPr>
          <w:rFonts w:hint="eastAsia" w:ascii="仿宋_GB2312" w:hAnsi="仿宋_GB2312" w:eastAsia="仿宋_GB2312" w:cs="仿宋_GB2312"/>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57.29</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教育事业收入增加5,022.22万元，其中：梧州市财政局回拨2021年度财政专户收入增加1,745.94万元，历年食堂管理费收入上缴回拨增加1,074.96万元，历年租金收入上缴回拨增加330.36万元，住宿费上缴回拨增1,735.50万元，其他教育事业收入增加135.46万元，科研事业收入增加325.22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b/>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.其他收入</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33,763.95</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万元，为预算单位在“财政拨款收入”</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“事业收入”“经营收入”之外取得的收入。</w:t>
      </w:r>
      <w:r>
        <w:rPr>
          <w:rFonts w:hint="eastAsia" w:ascii="仿宋_GB2312" w:hAnsi="仿宋_GB2312" w:eastAsia="仿宋_GB2312" w:cs="仿宋_GB2312"/>
          <w:color w:val="000000" w:themeColor="text1"/>
          <w:kern w:val="0"/>
          <w:sz w:val="32"/>
          <w:szCs w:val="32"/>
          <w14:textFill>
            <w14:solidFill>
              <w14:schemeClr w14:val="tx1"/>
            </w14:solidFill>
          </w14:textFill>
        </w:rPr>
        <w:t>如：较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19,611.90</w:t>
      </w:r>
      <w:r>
        <w:rPr>
          <w:rFonts w:hint="eastAsia" w:ascii="仿宋_GB2312" w:hAnsi="仿宋_GB2312" w:eastAsia="仿宋_GB2312" w:cs="仿宋_GB2312"/>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139.58</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2022年划归自治区直属管理后，梧州市级财政收入归集到其他收入－非同级财政拨款收入核算，增加16,879.19万元，其中</w:t>
      </w:r>
      <w:r>
        <w:rPr>
          <w:rFonts w:hint="eastAsia" w:ascii="仿宋_GB2312" w:hAnsi="仿宋_GB2312" w:eastAsia="仿宋_GB2312" w:cs="仿宋_GB2312"/>
          <w:color w:val="000000" w:themeColor="text1"/>
          <w:kern w:val="0"/>
          <w:sz w:val="32"/>
          <w:szCs w:val="32"/>
          <w14:textFill>
            <w14:solidFill>
              <w14:schemeClr w14:val="tx1"/>
            </w14:solidFill>
          </w14:textFill>
        </w:rPr>
        <w:t>梧州市级一般公共预算收入1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347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8</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4万</w:t>
      </w:r>
      <w:r>
        <w:rPr>
          <w:rFonts w:hint="eastAsia" w:ascii="仿宋_GB2312" w:hAnsi="仿宋_GB2312" w:eastAsia="仿宋_GB2312" w:cs="仿宋_GB2312"/>
          <w:color w:val="000000" w:themeColor="text1"/>
          <w:kern w:val="0"/>
          <w:sz w:val="32"/>
          <w:szCs w:val="32"/>
          <w14:textFill>
            <w14:solidFill>
              <w14:schemeClr w14:val="tx1"/>
            </w14:solidFill>
          </w14:textFill>
        </w:rPr>
        <w:t>元，2021年专项债收入15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531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35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其他收入－债务预算收入增加3,181.58万元。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.上年结转和结余</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238</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2021年</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科研收支结余</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238万元，在2022年继续使用</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减少3,496.97</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93.63</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2021年较2020年</w:t>
      </w:r>
      <w:r>
        <w:rPr>
          <w:rFonts w:hint="eastAsia" w:ascii="仿宋_GB2312" w:hAnsi="仿宋_GB2312" w:eastAsia="仿宋_GB2312" w:cs="仿宋_GB2312"/>
          <w:color w:val="000000" w:themeColor="text1"/>
          <w:kern w:val="0"/>
          <w:sz w:val="32"/>
          <w:szCs w:val="32"/>
          <w14:textFill>
            <w14:solidFill>
              <w14:schemeClr w14:val="tx1"/>
            </w14:solidFill>
          </w14:textFill>
        </w:rPr>
        <w:t>结转和结余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数减少3,496.98万元，其中一般公共预算财政拨款</w:t>
      </w:r>
      <w:r>
        <w:rPr>
          <w:rFonts w:hint="eastAsia" w:ascii="仿宋_GB2312" w:hAnsi="仿宋_GB2312" w:eastAsia="仿宋_GB2312" w:cs="仿宋_GB2312"/>
          <w:color w:val="000000" w:themeColor="text1"/>
          <w:kern w:val="0"/>
          <w:sz w:val="32"/>
          <w:szCs w:val="32"/>
          <w14:textFill>
            <w14:solidFill>
              <w14:schemeClr w14:val="tx1"/>
            </w14:solidFill>
          </w14:textFill>
        </w:rPr>
        <w:t>结转和结余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数减少1,430.68万元，其他</w:t>
      </w:r>
      <w:r>
        <w:rPr>
          <w:rFonts w:hint="eastAsia" w:ascii="仿宋_GB2312" w:hAnsi="仿宋_GB2312" w:eastAsia="仿宋_GB2312" w:cs="仿宋_GB2312"/>
          <w:color w:val="000000" w:themeColor="text1"/>
          <w:kern w:val="0"/>
          <w:sz w:val="32"/>
          <w:szCs w:val="32"/>
          <w14:textFill>
            <w14:solidFill>
              <w14:schemeClr w14:val="tx1"/>
            </w14:solidFill>
          </w14:textFill>
        </w:rPr>
        <w:t>结转和结余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数减少2,066.30万元（横向资金科研资金结转减少2,066.30万元）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b/>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（二）本部门2022年度总支出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70,231.20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万元，其中本年支出67</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990.87万元</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 xml:space="preserve"> 较</w:t>
      </w:r>
      <w:r>
        <w:rPr>
          <w:rFonts w:hint="eastAsia" w:ascii="仿宋_GB2312" w:hAnsi="仿宋_GB2312" w:eastAsia="仿宋_GB2312" w:cs="仿宋_GB2312"/>
          <w:b/>
          <w:bCs w:val="0"/>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16,846.13</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31.56</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1.教育支出（类）50</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968.58万元</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主要用于</w:t>
      </w:r>
      <w:r>
        <w:rPr>
          <w:rFonts w:hint="eastAsia" w:ascii="仿宋_GB2312" w:hAnsi="仿宋_GB2312" w:eastAsia="仿宋_GB2312" w:cs="仿宋_GB2312"/>
          <w:bCs/>
          <w:color w:val="000000" w:themeColor="text1"/>
          <w:kern w:val="0"/>
          <w:sz w:val="32"/>
          <w:szCs w:val="32"/>
          <w14:textFill>
            <w14:solidFill>
              <w14:schemeClr w14:val="tx1"/>
            </w14:solidFill>
          </w14:textFill>
        </w:rPr>
        <w:t>梧州学院按国家规定的工资支出、学校公用经费支出、学生和教学支出，</w:t>
      </w:r>
      <w:r>
        <w:rPr>
          <w:rFonts w:hint="eastAsia" w:ascii="仿宋_GB2312" w:hAnsi="仿宋_GB2312" w:eastAsia="仿宋_GB2312" w:cs="仿宋_GB2312"/>
          <w:color w:val="000000" w:themeColor="text1"/>
          <w:kern w:val="0"/>
          <w:sz w:val="32"/>
          <w:szCs w:val="32"/>
          <w14:textFill>
            <w14:solidFill>
              <w14:schemeClr w14:val="tx1"/>
            </w14:solidFill>
          </w14:textFill>
        </w:rPr>
        <w:t>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6,054.13</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万元，增长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13.48</w:t>
      </w:r>
      <w:r>
        <w:rPr>
          <w:rFonts w:hint="eastAsia" w:ascii="仿宋_GB2312" w:hAnsi="仿宋_GB2312" w:eastAsia="仿宋_GB2312" w:cs="仿宋_GB2312"/>
          <w:color w:val="000000" w:themeColor="text1"/>
          <w:kern w:val="0"/>
          <w:sz w:val="32"/>
          <w:szCs w:val="32"/>
          <w14:textFill>
            <w14:solidFill>
              <w14:schemeClr w14:val="tx1"/>
            </w14:solidFill>
          </w14:textFill>
        </w:rPr>
        <w:t>%，主要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原因是工资福利支出增加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4,157.78万元，商品与服务支出减少8,806.34万元，资本性支出增加797.06万元，对个人及家庭的补助减少147.88万元，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还本付息及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其他支出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10,053.51万元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2.文化旅游体育与传媒支出（类）</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主要用于</w:t>
      </w:r>
      <w:r>
        <w:rPr>
          <w:rFonts w:hint="eastAsia" w:ascii="仿宋_GB2312" w:hAnsi="仿宋_GB2312" w:eastAsia="仿宋_GB2312" w:cs="仿宋_GB2312"/>
          <w:bCs/>
          <w:color w:val="000000" w:themeColor="text1"/>
          <w:kern w:val="0"/>
          <w:sz w:val="32"/>
          <w:szCs w:val="32"/>
          <w14:textFill>
            <w14:solidFill>
              <w14:schemeClr w14:val="tx1"/>
            </w14:solidFill>
          </w14:textFill>
        </w:rPr>
        <w:t>宣传文化发展专项支出，</w:t>
      </w:r>
      <w:r>
        <w:rPr>
          <w:rFonts w:hint="eastAsia" w:ascii="仿宋_GB2312" w:hAnsi="仿宋_GB2312" w:eastAsia="仿宋_GB2312" w:cs="仿宋_GB2312"/>
          <w:color w:val="000000" w:themeColor="text1"/>
          <w:kern w:val="0"/>
          <w:sz w:val="32"/>
          <w:szCs w:val="32"/>
          <w14:textFill>
            <w14:solidFill>
              <w14:schemeClr w14:val="tx1"/>
            </w14:solidFill>
          </w14:textFill>
        </w:rPr>
        <w:t>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减少27</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下降100</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2022年无相关支出。</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3.社会保障和就业支出（类）</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687.80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主要用于</w:t>
      </w:r>
      <w:r>
        <w:rPr>
          <w:rFonts w:hint="eastAsia" w:ascii="仿宋_GB2312" w:hAnsi="仿宋_GB2312" w:eastAsia="仿宋_GB2312" w:cs="仿宋_GB2312"/>
          <w:bCs/>
          <w:color w:val="000000" w:themeColor="text1"/>
          <w:kern w:val="0"/>
          <w:sz w:val="32"/>
          <w:szCs w:val="32"/>
          <w14:textFill>
            <w14:solidFill>
              <w14:schemeClr w14:val="tx1"/>
            </w14:solidFill>
          </w14:textFill>
        </w:rPr>
        <w:t>梧州学院本级</w:t>
      </w:r>
      <w:r>
        <w:rPr>
          <w:rFonts w:hint="eastAsia" w:ascii="仿宋_GB2312" w:hAnsi="仿宋_GB2312" w:eastAsia="仿宋_GB2312" w:cs="仿宋_GB2312"/>
          <w:color w:val="000000" w:themeColor="text1"/>
          <w:kern w:val="0"/>
          <w:sz w:val="32"/>
          <w:szCs w:val="32"/>
          <w14:textFill>
            <w14:solidFill>
              <w14:schemeClr w14:val="tx1"/>
            </w14:solidFill>
          </w14:textFill>
        </w:rPr>
        <w:t>按国家规定发放的在职人员养老保险支出。较202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158.06</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18.69</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 w:hAnsi="仿宋" w:eastAsia="仿宋" w:cs="仿宋"/>
          <w:color w:val="000000" w:themeColor="text1"/>
          <w:kern w:val="0"/>
          <w:sz w:val="32"/>
          <w:szCs w:val="32"/>
          <w14:textFill>
            <w14:solidFill>
              <w14:schemeClr w14:val="tx1"/>
            </w14:solidFill>
          </w14:textFill>
        </w:rPr>
        <w:t>人员增减变动及国家政策养老保险调整缴费基数</w:t>
      </w:r>
      <w:r>
        <w:rPr>
          <w:rFonts w:hint="eastAsia" w:ascii="仿宋" w:hAnsi="仿宋" w:eastAsia="仿宋" w:cs="仿宋"/>
          <w:color w:val="000000" w:themeColor="text1"/>
          <w:kern w:val="0"/>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编外人员部分社保支出在教育支出核算</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4.卫生健康支出（类）</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330.15</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主要用于</w:t>
      </w:r>
      <w:r>
        <w:rPr>
          <w:rFonts w:hint="eastAsia" w:ascii="仿宋_GB2312" w:hAnsi="仿宋_GB2312" w:eastAsia="仿宋_GB2312" w:cs="仿宋_GB2312"/>
          <w:bCs/>
          <w:color w:val="000000" w:themeColor="text1"/>
          <w:kern w:val="0"/>
          <w:sz w:val="32"/>
          <w:szCs w:val="32"/>
          <w14:textFill>
            <w14:solidFill>
              <w14:schemeClr w14:val="tx1"/>
            </w14:solidFill>
          </w14:textFill>
        </w:rPr>
        <w:t>缴纳单位医疗保险。</w:t>
      </w:r>
      <w:r>
        <w:rPr>
          <w:rFonts w:hint="eastAsia" w:ascii="仿宋_GB2312" w:hAnsi="仿宋_GB2312" w:eastAsia="仿宋_GB2312" w:cs="仿宋_GB2312"/>
          <w:color w:val="000000" w:themeColor="text1"/>
          <w:kern w:val="0"/>
          <w:sz w:val="32"/>
          <w:szCs w:val="32"/>
          <w14:textFill>
            <w14:solidFill>
              <w14:schemeClr w14:val="tx1"/>
            </w14:solidFill>
          </w14:textFill>
        </w:rPr>
        <w:t>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69.54</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17.40</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%，主要原因是人员增减变动及国家政策调整医疗保险缴费基数</w:t>
      </w:r>
      <w:r>
        <w:rPr>
          <w:rFonts w:hint="eastAsia" w:ascii="仿宋" w:hAnsi="仿宋" w:eastAsia="仿宋" w:cs="仿宋"/>
          <w:color w:val="000000" w:themeColor="text1"/>
          <w:kern w:val="0"/>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编外人员部分社保支出在教育支出核算</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5.住房保障支出（类）</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460.69</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主要用于</w:t>
      </w:r>
      <w:r>
        <w:rPr>
          <w:rFonts w:hint="eastAsia" w:ascii="仿宋_GB2312" w:hAnsi="仿宋_GB2312" w:eastAsia="仿宋_GB2312" w:cs="仿宋_GB2312"/>
          <w:bCs/>
          <w:color w:val="000000" w:themeColor="text1"/>
          <w:kern w:val="0"/>
          <w:sz w:val="32"/>
          <w:szCs w:val="32"/>
          <w14:textFill>
            <w14:solidFill>
              <w14:schemeClr w14:val="tx1"/>
            </w14:solidFill>
          </w14:textFill>
        </w:rPr>
        <w:t>按照国家政策</w:t>
      </w:r>
      <w:r>
        <w:rPr>
          <w:rFonts w:hint="eastAsia" w:ascii="仿宋_GB2312" w:hAnsi="仿宋_GB2312" w:eastAsia="仿宋_GB2312" w:cs="仿宋_GB2312"/>
          <w:color w:val="000000" w:themeColor="text1"/>
          <w:kern w:val="0"/>
          <w:sz w:val="32"/>
          <w:szCs w:val="32"/>
          <w14:textFill>
            <w14:solidFill>
              <w14:schemeClr w14:val="tx1"/>
            </w14:solidFill>
          </w14:textFill>
        </w:rPr>
        <w:t>规定向职工发放的住房公积金、提租补贴、购房补贴等住房改革方面的支出。较202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减少231.44</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下降33.44</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%，主要原因是根据国家政策调整住房公积金缴费基数</w:t>
      </w:r>
      <w:r>
        <w:rPr>
          <w:rFonts w:hint="eastAsia" w:ascii="仿宋" w:hAnsi="仿宋" w:eastAsia="仿宋" w:cs="仿宋"/>
          <w:color w:val="000000" w:themeColor="text1"/>
          <w:kern w:val="0"/>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编外人员部分</w:t>
      </w:r>
      <w:r>
        <w:rPr>
          <w:rFonts w:hint="eastAsia" w:ascii="仿宋_GB2312" w:hAnsi="仿宋_GB2312" w:eastAsia="仿宋_GB2312" w:cs="仿宋_GB2312"/>
          <w:color w:val="000000" w:themeColor="text1"/>
          <w:kern w:val="0"/>
          <w:sz w:val="32"/>
          <w:szCs w:val="32"/>
          <w14:textFill>
            <w14:solidFill>
              <w14:schemeClr w14:val="tx1"/>
            </w14:solidFill>
          </w14:textFill>
        </w:rPr>
        <w:t>住房保障支出（类）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在教育支出核算</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6.灾害防治及应急管理支出（类）</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12.3</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主要用于旦冲地质灾害专项支出。较202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减少681.29</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下降98.23</w:t>
      </w:r>
      <w:r>
        <w:rPr>
          <w:rFonts w:hint="eastAsia" w:ascii="仿宋_GB2312" w:hAnsi="仿宋_GB2312" w:eastAsia="仿宋_GB2312" w:cs="仿宋_GB2312"/>
          <w:color w:val="000000" w:themeColor="text1"/>
          <w:kern w:val="0"/>
          <w:sz w:val="32"/>
          <w:szCs w:val="32"/>
          <w14:textFill>
            <w14:solidFill>
              <w14:schemeClr w14:val="tx1"/>
            </w14:solidFill>
          </w14:textFill>
        </w:rPr>
        <w:t>%，主要原因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是</w:t>
      </w:r>
      <w:r>
        <w:rPr>
          <w:rFonts w:hint="eastAsia" w:ascii="仿宋_GB2312" w:hAnsi="仿宋_GB2312" w:eastAsia="仿宋_GB2312" w:cs="仿宋_GB2312"/>
          <w:color w:val="000000" w:themeColor="text1"/>
          <w:kern w:val="0"/>
          <w:sz w:val="32"/>
          <w:szCs w:val="32"/>
          <w14:textFill>
            <w14:solidFill>
              <w14:schemeClr w14:val="tx1"/>
            </w14:solidFill>
          </w14:textFill>
        </w:rPr>
        <w:t>旦冲地质灾害治理已接近收尾阶段，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只有零星</w:t>
      </w:r>
      <w:r>
        <w:rPr>
          <w:rFonts w:hint="eastAsia" w:ascii="仿宋_GB2312" w:hAnsi="仿宋_GB2312" w:eastAsia="仿宋_GB2312" w:cs="仿宋_GB2312"/>
          <w:color w:val="000000" w:themeColor="text1"/>
          <w:kern w:val="0"/>
          <w:sz w:val="32"/>
          <w:szCs w:val="32"/>
          <w14:textFill>
            <w14:solidFill>
              <w14:schemeClr w14:val="tx1"/>
            </w14:solidFill>
          </w14:textFill>
        </w:rPr>
        <w:t>支出工程款及相关支出。</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7.其他支出（类）15</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531.35万元：</w:t>
      </w:r>
      <w:r>
        <w:rPr>
          <w:rFonts w:hint="eastAsia" w:ascii="仿宋_GB2312" w:hAnsi="仿宋_GB2312" w:eastAsia="仿宋_GB2312" w:cs="仿宋_GB2312"/>
          <w:color w:val="000000" w:themeColor="text1"/>
          <w:kern w:val="0"/>
          <w:sz w:val="32"/>
          <w:szCs w:val="32"/>
          <w14:textFill>
            <w14:solidFill>
              <w14:schemeClr w14:val="tx1"/>
            </w14:solidFill>
          </w14:textFill>
        </w:rPr>
        <w:t>主要用于北校区建设支出。较202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增加10,062.70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增长184.01</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%，主要原因是北校区建设支出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both"/>
        <w:textAlignment w:val="auto"/>
        <w:rPr>
          <w:rFonts w:hint="eastAsia" w:ascii="仿宋_GB2312" w:hAnsi="仿宋_GB2312" w:eastAsia="仿宋_GB2312" w:cs="仿宋_GB2312"/>
          <w:b/>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.年末结转和结余2</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240.32万元，为本年度或以前年度</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预算安排、因客观条件发生变化无法按原计划实施，需要延迟到以后年度按有关规定继续使用的资金。</w:t>
      </w:r>
      <w:r>
        <w:rPr>
          <w:rFonts w:hint="eastAsia" w:ascii="仿宋_GB2312" w:hAnsi="仿宋_GB2312" w:eastAsia="仿宋_GB2312" w:cs="仿宋_GB2312"/>
          <w:color w:val="000000" w:themeColor="text1"/>
          <w:kern w:val="0"/>
          <w:sz w:val="32"/>
          <w:szCs w:val="32"/>
          <w14:textFill>
            <w14:solidFill>
              <w14:schemeClr w14:val="tx1"/>
            </w14:solidFill>
          </w14:textFill>
        </w:rPr>
        <w:t>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1，896.61</w:t>
      </w:r>
      <w:r>
        <w:rPr>
          <w:rFonts w:hint="eastAsia" w:ascii="仿宋_GB2312" w:hAnsi="仿宋_GB2312" w:eastAsia="仿宋_GB2312" w:cs="仿宋_GB2312"/>
          <w:color w:val="000000" w:themeColor="text1"/>
          <w:kern w:val="0"/>
          <w:sz w:val="32"/>
          <w:szCs w:val="32"/>
          <w14:textFill>
            <w14:solidFill>
              <w14:schemeClr w14:val="tx1"/>
            </w14:solidFill>
          </w14:textFill>
        </w:rPr>
        <w:t>万元，增长</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551.81</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财政拨款结转增加749.86万元，非财政拨款结转增加1,146.75万元（横向科研资金结转增加116.54万元，自筹非学历培训结转增加83.49万元，自筹资金其他结转增加946.72万元）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40" w:firstLineChars="200"/>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二、</w:t>
      </w:r>
      <w:r>
        <w:rPr>
          <w:rFonts w:hint="eastAsia" w:ascii="黑体" w:hAnsi="黑体" w:eastAsia="黑体"/>
          <w:color w:val="000000" w:themeColor="text1"/>
          <w:kern w:val="0"/>
          <w:sz w:val="32"/>
          <w:szCs w:val="32"/>
          <w14:textFill>
            <w14:solidFill>
              <w14:schemeClr w14:val="tx1"/>
            </w14:solidFill>
          </w14:textFill>
        </w:rPr>
        <w:t xml:space="preserve">2022 </w:t>
      </w:r>
      <w:r>
        <w:rPr>
          <w:rFonts w:hint="eastAsia" w:ascii="黑体" w:hAnsi="黑体" w:eastAsia="黑体" w:cs="仿宋_GB2312"/>
          <w:color w:val="000000" w:themeColor="text1"/>
          <w:kern w:val="0"/>
          <w:sz w:val="32"/>
          <w:szCs w:val="32"/>
          <w14:textFill>
            <w14:solidFill>
              <w14:schemeClr w14:val="tx1"/>
            </w14:solidFill>
          </w14:textFill>
        </w:rPr>
        <w:t>年度</w:t>
      </w:r>
      <w:r>
        <w:rPr>
          <w:rFonts w:hint="eastAsia" w:ascii="黑体" w:hAnsi="黑体" w:eastAsia="黑体"/>
          <w:color w:val="000000" w:themeColor="text1"/>
          <w:sz w:val="32"/>
          <w:szCs w:val="32"/>
          <w14:textFill>
            <w14:solidFill>
              <w14:schemeClr w14:val="tx1"/>
            </w14:solidFill>
          </w14:textFill>
        </w:rPr>
        <w:t>一般</w:t>
      </w:r>
      <w:r>
        <w:rPr>
          <w:rFonts w:hint="eastAsia" w:ascii="黑体" w:hAnsi="黑体" w:eastAsia="黑体" w:cs="仿宋_GB2312"/>
          <w:color w:val="000000" w:themeColor="text1"/>
          <w:kern w:val="0"/>
          <w:sz w:val="32"/>
          <w:szCs w:val="32"/>
          <w14:textFill>
            <w14:solidFill>
              <w14:schemeClr w14:val="tx1"/>
            </w14:solidFill>
          </w14:textFill>
        </w:rPr>
        <w:t>公共预算财政拨款支出决算情况</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梧州学院</w:t>
      </w:r>
      <w:r>
        <w:rPr>
          <w:rFonts w:hint="eastAsia" w:ascii="仿宋_GB2312" w:hAnsi="仿宋_GB2312" w:eastAsia="仿宋_GB2312" w:cs="仿宋_GB2312"/>
          <w:color w:val="000000" w:themeColor="text1"/>
          <w:kern w:val="0"/>
          <w:sz w:val="32"/>
          <w:szCs w:val="32"/>
          <w14:textFill>
            <w14:solidFill>
              <w14:schemeClr w14:val="tx1"/>
            </w14:solidFill>
          </w14:textFill>
        </w:rPr>
        <w:t>2022 年度</w:t>
      </w:r>
      <w:r>
        <w:rPr>
          <w:rFonts w:hint="eastAsia" w:ascii="仿宋_GB2312" w:hAnsi="仿宋_GB2312" w:eastAsia="仿宋_GB2312" w:cs="仿宋_GB2312"/>
          <w:color w:val="000000" w:themeColor="text1"/>
          <w:sz w:val="32"/>
          <w:szCs w:val="32"/>
          <w14:textFill>
            <w14:solidFill>
              <w14:schemeClr w14:val="tx1"/>
            </w14:solidFill>
          </w14:textFill>
        </w:rPr>
        <w:t>一般</w:t>
      </w:r>
      <w:r>
        <w:rPr>
          <w:rFonts w:hint="eastAsia" w:ascii="仿宋_GB2312" w:hAnsi="仿宋_GB2312" w:eastAsia="仿宋_GB2312" w:cs="仿宋_GB2312"/>
          <w:color w:val="000000" w:themeColor="text1"/>
          <w:kern w:val="0"/>
          <w:sz w:val="32"/>
          <w:szCs w:val="32"/>
          <w14:textFill>
            <w14:solidFill>
              <w14:schemeClr w14:val="tx1"/>
            </w14:solidFill>
          </w14:textFill>
        </w:rPr>
        <w:t>公共预算财政拨款支出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20,691.95</w:t>
      </w:r>
      <w:r>
        <w:rPr>
          <w:rFonts w:hint="eastAsia" w:ascii="仿宋_GB2312" w:hAnsi="仿宋_GB2312" w:eastAsia="仿宋_GB2312" w:cs="仿宋_GB2312"/>
          <w:color w:val="000000" w:themeColor="text1"/>
          <w:kern w:val="0"/>
          <w:sz w:val="32"/>
          <w:szCs w:val="32"/>
          <w14:textFill>
            <w14:solidFill>
              <w14:schemeClr w14:val="tx1"/>
            </w14:solidFill>
          </w14:textFill>
        </w:rPr>
        <w:t>万元，较</w:t>
      </w:r>
      <w:r>
        <w:rPr>
          <w:rFonts w:hint="eastAsia" w:ascii="仿宋_GB2312" w:hAnsi="仿宋_GB2312" w:eastAsia="仿宋_GB2312" w:cs="仿宋_GB2312"/>
          <w:color w:val="000000" w:themeColor="text1"/>
          <w:kern w:val="0"/>
          <w:sz w:val="32"/>
          <w:szCs w:val="32"/>
          <w:lang w:val="en"/>
          <w14:textFill>
            <w14:solidFill>
              <w14:schemeClr w14:val="tx1"/>
            </w14:solidFill>
          </w14:textFill>
        </w:rPr>
        <w:t>2021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1,289.04</w:t>
      </w:r>
      <w:r>
        <w:rPr>
          <w:rFonts w:hint="eastAsia" w:ascii="仿宋_GB2312" w:hAnsi="仿宋_GB2312" w:eastAsia="仿宋_GB2312" w:cs="仿宋_GB2312"/>
          <w:color w:val="000000" w:themeColor="text1"/>
          <w:kern w:val="0"/>
          <w:sz w:val="32"/>
          <w:szCs w:val="32"/>
          <w14:textFill>
            <w14:solidFill>
              <w14:schemeClr w14:val="tx1"/>
            </w14:solidFill>
          </w14:textFill>
        </w:rPr>
        <w:t>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5.86</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%。其中：基本支出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万元，项目支出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20,691.95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pPr>
        <w:pStyle w:val="6"/>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梧州学院</w:t>
      </w:r>
      <w:r>
        <w:rPr>
          <w:rFonts w:hint="eastAsia" w:ascii="仿宋_GB2312" w:hAnsi="仿宋_GB2312" w:eastAsia="仿宋_GB2312" w:cs="仿宋_GB2312"/>
          <w:color w:val="000000" w:themeColor="text1"/>
          <w:kern w:val="0"/>
          <w:sz w:val="32"/>
          <w:szCs w:val="32"/>
          <w14:textFill>
            <w14:solidFill>
              <w14:schemeClr w14:val="tx1"/>
            </w14:solidFill>
          </w14:textFill>
        </w:rPr>
        <w:t>2022 年度</w:t>
      </w:r>
      <w:r>
        <w:rPr>
          <w:rFonts w:hint="eastAsia" w:ascii="仿宋_GB2312" w:hAnsi="仿宋_GB2312" w:eastAsia="仿宋_GB2312" w:cs="仿宋_GB2312"/>
          <w:color w:val="000000" w:themeColor="text1"/>
          <w:sz w:val="32"/>
          <w:szCs w:val="32"/>
          <w14:textFill>
            <w14:solidFill>
              <w14:schemeClr w14:val="tx1"/>
            </w14:solidFill>
          </w14:textFill>
        </w:rPr>
        <w:t>一般</w:t>
      </w:r>
      <w:r>
        <w:rPr>
          <w:rFonts w:hint="eastAsia" w:ascii="仿宋_GB2312" w:hAnsi="仿宋_GB2312" w:eastAsia="仿宋_GB2312" w:cs="仿宋_GB2312"/>
          <w:color w:val="000000" w:themeColor="text1"/>
          <w:kern w:val="0"/>
          <w:sz w:val="32"/>
          <w:szCs w:val="32"/>
          <w14:textFill>
            <w14:solidFill>
              <w14:schemeClr w14:val="tx1"/>
            </w14:solidFill>
          </w14:textFill>
        </w:rPr>
        <w:t>公共预算财政拨款支出年初预算为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20,691.95</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比</w:t>
      </w:r>
      <w:r>
        <w:rPr>
          <w:rFonts w:hint="eastAsia" w:ascii="仿宋_GB2312" w:hAnsi="仿宋_GB2312" w:eastAsia="仿宋_GB2312" w:cs="仿宋_GB2312"/>
          <w:color w:val="000000" w:themeColor="text1"/>
          <w:kern w:val="0"/>
          <w:sz w:val="32"/>
          <w:szCs w:val="32"/>
          <w14:textFill>
            <w14:solidFill>
              <w14:schemeClr w14:val="tx1"/>
            </w14:solidFill>
          </w14:textFill>
        </w:rPr>
        <w:t>年初预算</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增长100%</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主要原因为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本校2022年上划到自治区管理，本年预算为自治区追加项目预算，无年初预算。</w:t>
      </w:r>
    </w:p>
    <w:p>
      <w:pPr>
        <w:keepNext w:val="0"/>
        <w:keepLines w:val="0"/>
        <w:pageBreakBefore w:val="0"/>
        <w:widowControl w:val="0"/>
        <w:numPr>
          <w:ilvl w:val="0"/>
          <w:numId w:val="2"/>
        </w:numPr>
        <w:tabs>
          <w:tab w:val="center" w:pos="4475"/>
        </w:tabs>
        <w:kinsoku/>
        <w:wordWrap/>
        <w:overflowPunct/>
        <w:topLinePunct w:val="0"/>
        <w:autoSpaceDE/>
        <w:autoSpaceDN/>
        <w:bidi w:val="0"/>
        <w:adjustRightInd/>
        <w:snapToGrid/>
        <w:spacing w:line="360" w:lineRule="auto"/>
        <w:ind w:right="-57" w:rightChars="-27" w:firstLine="643" w:firstLineChars="20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14:textFill>
            <w14:solidFill>
              <w14:schemeClr w14:val="tx1"/>
            </w14:solidFill>
          </w14:textFill>
        </w:rPr>
        <w:t>教育支出年初预算为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万元，支出决算为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19,243.16</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比</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增长100%</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较年初预算数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Cs/>
          <w:color w:val="000000" w:themeColor="text1"/>
          <w:kern w:val="0"/>
          <w:sz w:val="32"/>
          <w:szCs w:val="32"/>
          <w14:textFill>
            <w14:solidFill>
              <w14:schemeClr w14:val="tx1"/>
            </w14:solidFill>
          </w14:textFill>
        </w:rPr>
        <w:t>的原因是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梧州学院2022年总体预算为自治区追加项目预算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，无年初预算。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其中高等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教育支出拨款增加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19,243.16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，其他普通教育支出增加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0.6万元；</w:t>
      </w:r>
      <w:r>
        <w:rPr>
          <w:rFonts w:hint="eastAsia" w:ascii="仿宋_GB2312" w:hAnsi="仿宋_GB2312" w:eastAsia="仿宋_GB2312" w:cs="仿宋_GB2312"/>
          <w:bCs/>
          <w:color w:val="000000" w:themeColor="text1"/>
          <w:kern w:val="0"/>
          <w:sz w:val="32"/>
          <w:szCs w:val="32"/>
          <w14:textFill>
            <w14:solidFill>
              <w14:schemeClr w14:val="tx1"/>
            </w14:solidFill>
          </w14:textFill>
        </w:rPr>
        <w:t>主要用于梧州学院按国家规定的工资支出、学校公用经费支出、学生和教学支出。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15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社会保障和就业支出年初预算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万元，决算支出658.37万元，较202</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658.37万元，</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增长100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较年初预算数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Cs/>
          <w:color w:val="000000" w:themeColor="text1"/>
          <w:kern w:val="0"/>
          <w:sz w:val="32"/>
          <w:szCs w:val="32"/>
          <w14:textFill>
            <w14:solidFill>
              <w14:schemeClr w14:val="tx1"/>
            </w14:solidFill>
          </w14:textFill>
        </w:rPr>
        <w:t>的原因是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梧州学院2022年总体预算为自治区追加项目预算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，无年初预算。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其中机关事业单位基本养老保险缴费支出增加614.24万元，死亡抚恤增加44.13万元；</w:t>
      </w:r>
      <w:r>
        <w:rPr>
          <w:rFonts w:hint="eastAsia" w:ascii="仿宋_GB2312" w:hAnsi="仿宋_GB2312" w:eastAsia="仿宋_GB2312" w:cs="仿宋_GB2312"/>
          <w:bCs/>
          <w:color w:val="000000" w:themeColor="text1"/>
          <w:kern w:val="0"/>
          <w:sz w:val="32"/>
          <w:szCs w:val="32"/>
          <w14:textFill>
            <w14:solidFill>
              <w14:schemeClr w14:val="tx1"/>
            </w14:solidFill>
          </w14:textFill>
        </w:rPr>
        <w:t>主要用于梧州学院本级</w:t>
      </w:r>
      <w:r>
        <w:rPr>
          <w:rFonts w:hint="eastAsia" w:ascii="仿宋_GB2312" w:hAnsi="仿宋_GB2312" w:eastAsia="仿宋_GB2312" w:cs="仿宋_GB2312"/>
          <w:color w:val="000000" w:themeColor="text1"/>
          <w:kern w:val="0"/>
          <w:sz w:val="32"/>
          <w:szCs w:val="32"/>
          <w14:textFill>
            <w14:solidFill>
              <w14:schemeClr w14:val="tx1"/>
            </w14:solidFill>
          </w14:textFill>
        </w:rPr>
        <w:t>按国家规定发放的在职人员养老保险支出。</w:t>
      </w:r>
    </w:p>
    <w:p>
      <w:pPr>
        <w:keepNext w:val="0"/>
        <w:keepLines w:val="0"/>
        <w:pageBreakBefore w:val="0"/>
        <w:widowControl w:val="0"/>
        <w:kinsoku/>
        <w:wordWrap/>
        <w:overflowPunct/>
        <w:topLinePunct w:val="0"/>
        <w:bidi w:val="0"/>
        <w:adjustRightInd w:val="0"/>
        <w:snapToGrid/>
        <w:spacing w:line="560" w:lineRule="exact"/>
        <w:ind w:firstLine="643" w:firstLineChars="20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卫生健康支出年初预算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万元，决算支出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329.73</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万元，较202</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增加329.73</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增长100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较年初预算数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Cs/>
          <w:color w:val="000000" w:themeColor="text1"/>
          <w:kern w:val="0"/>
          <w:sz w:val="32"/>
          <w:szCs w:val="32"/>
          <w14:textFill>
            <w14:solidFill>
              <w14:schemeClr w14:val="tx1"/>
            </w14:solidFill>
          </w14:textFill>
        </w:rPr>
        <w:t>的原因是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梧州学院2022年总体预算为自治区追加项目预算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，无年初预算。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其中事业单位医疗增加326.82万元，公务员医疗补助增加14.96万元；</w:t>
      </w:r>
      <w:r>
        <w:rPr>
          <w:rFonts w:hint="eastAsia" w:ascii="仿宋_GB2312" w:hAnsi="仿宋_GB2312" w:eastAsia="仿宋_GB2312" w:cs="仿宋_GB2312"/>
          <w:bCs/>
          <w:color w:val="000000" w:themeColor="text1"/>
          <w:kern w:val="0"/>
          <w:sz w:val="32"/>
          <w:szCs w:val="32"/>
          <w14:textFill>
            <w14:solidFill>
              <w14:schemeClr w14:val="tx1"/>
            </w14:solidFill>
          </w14:textFill>
        </w:rPr>
        <w:t>主要用于缴纳单位医疗保险。</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住房保障支出年初预算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万元，决算支出</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460.49</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万元，较202</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年年初预算</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增加460.49</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增长100</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较年初预算数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Cs/>
          <w:color w:val="000000" w:themeColor="text1"/>
          <w:kern w:val="0"/>
          <w:sz w:val="32"/>
          <w:szCs w:val="32"/>
          <w14:textFill>
            <w14:solidFill>
              <w14:schemeClr w14:val="tx1"/>
            </w14:solidFill>
          </w14:textFill>
        </w:rPr>
        <w:t>的原因是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梧州学院2022年总体预算为自治区追加项目预算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，无年初预算</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主要用于按照国家政策</w:t>
      </w:r>
      <w:r>
        <w:rPr>
          <w:rFonts w:hint="eastAsia" w:ascii="仿宋_GB2312" w:hAnsi="仿宋_GB2312" w:eastAsia="仿宋_GB2312" w:cs="仿宋_GB2312"/>
          <w:color w:val="000000" w:themeColor="text1"/>
          <w:kern w:val="0"/>
          <w:sz w:val="32"/>
          <w:szCs w:val="32"/>
          <w14:textFill>
            <w14:solidFill>
              <w14:schemeClr w14:val="tx1"/>
            </w14:solidFill>
          </w14:textFill>
        </w:rPr>
        <w:t>规定向职工发放的住房公积金、提租补贴、购房补贴等住房改革方面的支出。</w:t>
      </w:r>
    </w:p>
    <w:p>
      <w:pPr>
        <w:autoSpaceDE w:val="0"/>
        <w:autoSpaceDN w:val="0"/>
        <w:adjustRightInd w:val="0"/>
        <w:spacing w:line="560" w:lineRule="exact"/>
        <w:ind w:firstLine="640" w:firstLineChars="200"/>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三、2022年度一般公共预算财政拨款基本支出决算情况说明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因梧州学院2022年总体预算为自治区追加项目预算，所以所有一般公共预算财政拨款支出均在项目支出核算，无一般公共预算财政拨款基本支出。</w:t>
      </w:r>
    </w:p>
    <w:p>
      <w:pPr>
        <w:autoSpaceDE w:val="0"/>
        <w:autoSpaceDN w:val="0"/>
        <w:adjustRightInd w:val="0"/>
        <w:spacing w:line="560" w:lineRule="exact"/>
        <w:ind w:firstLine="640" w:firstLineChars="200"/>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四、2022年度政府性基金支出决算情况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梧州学院202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年度政府性基金支出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万元，较202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年度决算数减少5,468.65万元，下降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%。梧州学院202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年度政府性基金支出年初预算为</w:t>
      </w:r>
      <w:bookmarkStart w:id="0" w:name="D6"/>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0万元，支出决算为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决算数较2022年年初预算无增减变化</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40" w:firstLineChars="200"/>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五、2022年度国有资本经营预算支出决算情况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1"/>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本部门无国有资本经营收入，也没有国有资本经营支出，与去年相比无增减变化，与预算相比无增减变化。</w:t>
      </w:r>
    </w:p>
    <w:p>
      <w:pPr>
        <w:autoSpaceDE w:val="0"/>
        <w:autoSpaceDN w:val="0"/>
        <w:adjustRightInd w:val="0"/>
        <w:spacing w:line="560" w:lineRule="exact"/>
        <w:ind w:firstLine="640" w:firstLineChars="200"/>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六、财政拨款安排的“三公”经费支出决算情况说明</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2022年度财政拨款安排的“三公”经费支出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%，比上年减少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2.12</w:t>
      </w:r>
      <w:r>
        <w:rPr>
          <w:rFonts w:hint="eastAsia" w:ascii="仿宋_GB2312" w:hAnsi="仿宋_GB2312" w:eastAsia="仿宋_GB2312" w:cs="仿宋_GB2312"/>
          <w:color w:val="000000" w:themeColor="text1"/>
          <w:kern w:val="0"/>
          <w:sz w:val="32"/>
          <w:szCs w:val="32"/>
          <w14:textFill>
            <w14:solidFill>
              <w14:schemeClr w14:val="tx1"/>
            </w14:solidFill>
          </w14:textFill>
        </w:rPr>
        <w:t>万元，主要原因是公务接待费支出决算</w:t>
      </w:r>
      <w:bookmarkStart w:id="1" w:name="E3"/>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w:t>
      </w:r>
      <w:r>
        <w:rPr>
          <w:rFonts w:hint="eastAsia" w:ascii="仿宋_GB2312" w:hAnsi="仿宋_GB2312" w:eastAsia="仿宋_GB2312" w:cs="仿宋_GB2312"/>
          <w:color w:val="000000" w:themeColor="text1"/>
          <w:kern w:val="0"/>
          <w:sz w:val="32"/>
          <w:szCs w:val="32"/>
          <w14:textFill>
            <w14:solidFill>
              <w14:schemeClr w14:val="tx1"/>
            </w14:solidFill>
          </w14:textFill>
        </w:rPr>
        <w:t>2.12</w:t>
      </w:r>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万元。其中：因公出国（境）费支出决算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万元，公务用车购置及运行费支出决算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万元，公务接待费支出决算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具体情况如下：</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（一）因公出国（境）费支出</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全年使用财政拨款安排</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个所属单位出国团组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个，参加其他单位组织的出国团组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个，全年因公出国（境）团组共计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个，累计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人次。</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（二）公务用车购置及运行费支出</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其中：</w:t>
      </w:r>
    </w:p>
    <w:p>
      <w:pPr>
        <w:autoSpaceDE w:val="0"/>
        <w:autoSpaceDN w:val="0"/>
        <w:adjustRightInd w:val="0"/>
        <w:spacing w:line="560" w:lineRule="exact"/>
        <w:ind w:firstLine="640" w:firstLineChars="2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公务用车购置支出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万元，公务用车运行支出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万元，主要用于机要文件交换、市内因公出行以及开展业务所需车辆燃料费、维修费、过路过桥费、保险费等。2022年，</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梧州学院</w:t>
      </w:r>
      <w:r>
        <w:rPr>
          <w:rFonts w:hint="eastAsia" w:ascii="仿宋_GB2312" w:hAnsi="仿宋_GB2312" w:eastAsia="仿宋_GB2312" w:cs="仿宋_GB2312"/>
          <w:bCs/>
          <w:color w:val="000000" w:themeColor="text1"/>
          <w:sz w:val="32"/>
          <w:szCs w:val="32"/>
          <w14:textFill>
            <w14:solidFill>
              <w14:schemeClr w14:val="tx1"/>
            </w14:solidFill>
          </w14:textFill>
        </w:rPr>
        <w:t>单位开支财政拨款的公务用车保有量为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辆，全年运行费支出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万元，平均每辆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万元。</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（三）公务接待费支出</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b/>
          <w:bCs/>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国内公务接待批次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次，人次 次，国（境）外公务接待批次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次，人次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次。</w:t>
      </w:r>
    </w:p>
    <w:p>
      <w:pPr>
        <w:autoSpaceDE w:val="0"/>
        <w:autoSpaceDN w:val="0"/>
        <w:adjustRightInd w:val="0"/>
        <w:spacing w:line="560" w:lineRule="exact"/>
        <w:ind w:firstLine="627" w:firstLineChars="196"/>
        <w:jc w:val="both"/>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七、其他重要事项情况说明</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（一）</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kern w:val="0"/>
          <w:sz w:val="32"/>
          <w:szCs w:val="32"/>
          <w14:textFill>
            <w14:solidFill>
              <w14:schemeClr w14:val="tx1"/>
            </w14:solidFill>
          </w14:textFill>
        </w:rPr>
        <w:t>机关运行经费支出情况说明</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本部门2022年度机关运行经费支出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较</w:t>
      </w:r>
      <w:r>
        <w:rPr>
          <w:rFonts w:hint="eastAsia" w:ascii="仿宋_GB2312" w:hAnsi="仿宋_GB2312" w:eastAsia="仿宋_GB2312" w:cs="仿宋_GB2312"/>
          <w:color w:val="000000" w:themeColor="text1"/>
          <w:kern w:val="0"/>
          <w:sz w:val="32"/>
          <w:szCs w:val="32"/>
          <w14:textFill>
            <w14:solidFill>
              <w14:schemeClr w14:val="tx1"/>
            </w14:solidFill>
          </w14:textFill>
        </w:rPr>
        <w:t>年初预算数相比无增减变化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较</w:t>
      </w:r>
      <w:r>
        <w:rPr>
          <w:rFonts w:hint="eastAsia" w:ascii="仿宋_GB2312" w:hAnsi="仿宋_GB2312" w:eastAsia="仿宋_GB2312" w:cs="仿宋_GB2312"/>
          <w:color w:val="000000" w:themeColor="text1"/>
          <w:kern w:val="0"/>
          <w:sz w:val="32"/>
          <w:szCs w:val="32"/>
          <w14:textFill>
            <w14:solidFill>
              <w14:schemeClr w14:val="tx1"/>
            </w14:solidFill>
          </w14:textFill>
        </w:rPr>
        <w:t>上年决算数无增减变化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本单位不属于行政单位和参照公务员法管理事业单位，本单位无机关运行经费支出。</w:t>
      </w:r>
    </w:p>
    <w:p>
      <w:pPr>
        <w:autoSpaceDE w:val="0"/>
        <w:autoSpaceDN w:val="0"/>
        <w:adjustRightInd w:val="0"/>
        <w:spacing w:line="560" w:lineRule="exact"/>
        <w:ind w:firstLine="643" w:firstLineChars="2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（二）政府采购支出情况说明。</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本部门2022年度政府采购支出总额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3,020.44</w:t>
      </w:r>
      <w:r>
        <w:rPr>
          <w:rFonts w:hint="eastAsia" w:ascii="仿宋_GB2312" w:hAnsi="仿宋_GB2312" w:eastAsia="仿宋_GB2312" w:cs="仿宋_GB2312"/>
          <w:color w:val="000000" w:themeColor="text1"/>
          <w:kern w:val="0"/>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1,738.66</w:t>
      </w:r>
      <w:r>
        <w:rPr>
          <w:rFonts w:hint="eastAsia" w:ascii="仿宋_GB2312" w:hAnsi="仿宋_GB2312" w:eastAsia="仿宋_GB2312" w:cs="仿宋_GB2312"/>
          <w:color w:val="000000" w:themeColor="text1"/>
          <w:kern w:val="0"/>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141.27</w:t>
      </w:r>
      <w:r>
        <w:rPr>
          <w:rFonts w:hint="eastAsia" w:ascii="仿宋_GB2312" w:hAnsi="仿宋_GB2312" w:eastAsia="仿宋_GB2312" w:cs="仿宋_GB2312"/>
          <w:color w:val="000000" w:themeColor="text1"/>
          <w:kern w:val="0"/>
          <w:sz w:val="32"/>
          <w:szCs w:val="32"/>
          <w14:textFill>
            <w14:solidFill>
              <w14:schemeClr w14:val="tx1"/>
            </w14:solidFill>
          </w14:textFill>
        </w:rPr>
        <w:t>万元、政府采购服务支出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1,140.51</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万元，（口径参见部门决算F03表《机构运行信息表》中政府采购相关数据）。授予中小企业合同金额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2,945.94</w:t>
      </w:r>
      <w:r>
        <w:rPr>
          <w:rFonts w:hint="eastAsia" w:ascii="仿宋_GB2312" w:hAnsi="仿宋_GB2312" w:eastAsia="仿宋_GB2312" w:cs="仿宋_GB2312"/>
          <w:color w:val="000000" w:themeColor="text1"/>
          <w:kern w:val="0"/>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97.53</w:t>
      </w:r>
      <w:r>
        <w:rPr>
          <w:rFonts w:hint="eastAsia" w:ascii="仿宋_GB2312" w:hAnsi="仿宋_GB2312" w:eastAsia="仿宋_GB2312" w:cs="仿宋_GB2312"/>
          <w:color w:val="000000" w:themeColor="text1"/>
          <w:kern w:val="0"/>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2,410.79</w:t>
      </w:r>
      <w:r>
        <w:rPr>
          <w:rFonts w:hint="eastAsia" w:ascii="仿宋_GB2312" w:hAnsi="仿宋_GB2312" w:eastAsia="仿宋_GB2312" w:cs="仿宋_GB2312"/>
          <w:color w:val="000000" w:themeColor="text1"/>
          <w:kern w:val="0"/>
          <w:sz w:val="32"/>
          <w:szCs w:val="32"/>
          <w14:textFill>
            <w14:solidFill>
              <w14:schemeClr w14:val="tx1"/>
            </w14:solidFill>
          </w14:textFill>
        </w:rPr>
        <w:t>万元，占授予中小企业合同金额的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81.83</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货物采购授予中小企业合同金额占货物支出金额</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95.72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%；工程采购授予中小企业合同金额占工程支出金额的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%；服务采购授予中小企业合同金额占服务支出金额的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autoSpaceDE w:val="0"/>
        <w:autoSpaceDN w:val="0"/>
        <w:adjustRightInd w:val="0"/>
        <w:spacing w:line="560" w:lineRule="exact"/>
        <w:ind w:firstLine="643" w:firstLineChars="2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（三）国有资产占用情况说明。</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截至2022年12月31日，本部门共有车辆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辆，其中：副部（省）级领导干部用车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辆、机要通信用车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辆、应急保障用车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辆、执法执勤用车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辆、特种专业技术用车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辆、其他用车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辆，其他用车主要是接送师生来回的大巴车；单位价值100万元以上设备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（不含车辆）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台（套）。</w:t>
      </w:r>
    </w:p>
    <w:p>
      <w:pPr>
        <w:numPr>
          <w:ilvl w:val="0"/>
          <w:numId w:val="3"/>
        </w:numPr>
        <w:autoSpaceDE w:val="0"/>
        <w:autoSpaceDN w:val="0"/>
        <w:adjustRightInd w:val="0"/>
        <w:spacing w:line="560" w:lineRule="exact"/>
        <w:ind w:firstLine="640" w:firstLineChars="200"/>
        <w:jc w:val="both"/>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预算绩效管理工作开展情况。</w:t>
      </w:r>
    </w:p>
    <w:p>
      <w:pPr>
        <w:numPr>
          <w:ilvl w:val="0"/>
          <w:numId w:val="0"/>
        </w:numPr>
        <w:autoSpaceDE w:val="0"/>
        <w:autoSpaceDN w:val="0"/>
        <w:adjustRightInd w:val="0"/>
        <w:spacing w:line="560" w:lineRule="exact"/>
        <w:ind w:firstLine="643" w:firstLineChars="2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b/>
          <w:bCs/>
          <w:color w:val="000000" w:themeColor="text1"/>
          <w:kern w:val="0"/>
          <w:sz w:val="32"/>
          <w:szCs w:val="32"/>
          <w14:textFill>
            <w14:solidFill>
              <w14:schemeClr w14:val="tx1"/>
            </w14:solidFill>
          </w14:textFill>
        </w:rPr>
        <w:t>绩效管理工作开展情况。</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财政预算绩效管理要求，我部门组织对2022年度28个一般公共预算项目支出开展绩效自评，共涉及资金20,051.75万元，占一般公共预算项目支出总额的93.05%（按照自评全覆盖要求，自评覆盖面原则上应达100%，下同）。</w:t>
      </w:r>
    </w:p>
    <w:p>
      <w:pPr>
        <w:autoSpaceDE w:val="0"/>
        <w:autoSpaceDN w:val="0"/>
        <w:adjustRightInd w:val="0"/>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组织对“中央支持地方高校改革发展资金”等28个项目进行了部门评价，涉及一般公共预算支出20,051.75.00 万元，政府性基金预算支出0万元，国有资本经营预算支出0万元。从评价情况来看，在开展自评工作过程中，各预算部门加强沟通，密切配合，强化组织领导，细化工作要求，明确责任分工，压实工作责任，针对2022年度一般公共预算28个项目进行了自评。自评数据真实、准确、客观，打分证据充分、可靠，没有随意打分现象，确保绩效自评工作圆满完成。</w:t>
      </w:r>
    </w:p>
    <w:p>
      <w:pPr>
        <w:autoSpaceDE w:val="0"/>
        <w:autoSpaceDN w:val="0"/>
        <w:adjustRightInd w:val="0"/>
        <w:spacing w:line="560" w:lineRule="exact"/>
        <w:ind w:firstLine="643" w:firstLineChars="200"/>
        <w:jc w:val="both"/>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kern w:val="0"/>
          <w:sz w:val="32"/>
          <w:szCs w:val="32"/>
          <w14:textFill>
            <w14:solidFill>
              <w14:schemeClr w14:val="tx1"/>
            </w14:solidFill>
          </w14:textFill>
        </w:rPr>
        <w:t>部门决算中项目绩效自评结果。</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项目绩效自评总体情况：</w:t>
      </w:r>
      <w:r>
        <w:rPr>
          <w:rFonts w:hint="eastAsia" w:ascii="仿宋_GB2312" w:hAnsi="仿宋_GB2312" w:eastAsia="仿宋_GB2312" w:cs="仿宋_GB2312"/>
          <w:color w:val="000000" w:themeColor="text1"/>
          <w:sz w:val="32"/>
          <w:szCs w:val="32"/>
          <w14:textFill>
            <w14:solidFill>
              <w14:schemeClr w14:val="tx1"/>
            </w14:solidFill>
          </w14:textFill>
        </w:rPr>
        <w:t>经我部门对照年初设定的绩效目标自评，25个项目评为一等，占项目总数比例89.3%； 0个项目评为二等，占项目总数比例0 %；1个项目评为三等，占项目总数比例3.6 %；2个项目评为四等，占项目总数比例7.1%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评发现的主要问题及原因：一是疫情影响导致资金有剩余，余下未能支出的部分；二是因获批立项及下达经费时间紧促，未来得及开展研究。下一步改进措施：一是督促项目实施流程，加快项目建设和预算支出进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二是落实责任人，采取有效措施推进重点项目建设，加快资金支出进度，保证按计划完成资金支出。</w:t>
      </w:r>
    </w:p>
    <w:p>
      <w:pPr>
        <w:autoSpaceDE w:val="0"/>
        <w:autoSpaceDN w:val="0"/>
        <w:adjustRightInd w:val="0"/>
        <w:spacing w:line="560" w:lineRule="exact"/>
        <w:ind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2.部分重点</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项目绩效自评情况（至少选择一个重点项目作具体说明）：</w:t>
      </w:r>
      <w:r>
        <w:rPr>
          <w:rFonts w:hint="eastAsia" w:ascii="仿宋_GB2312" w:hAnsi="仿宋_GB2312" w:eastAsia="仿宋_GB2312" w:cs="仿宋_GB2312"/>
          <w:color w:val="000000" w:themeColor="text1"/>
          <w:sz w:val="32"/>
          <w:szCs w:val="32"/>
          <w14:textFill>
            <w14:solidFill>
              <w14:schemeClr w14:val="tx1"/>
            </w14:solidFill>
          </w14:textFill>
        </w:rPr>
        <w:t>根据年初设定的绩效目标，示范性现代产业学院经费项目自评得分为100分，项目全年预算数为454万元，执行数为454万元，完成预算的100%。项目绩效目标完成情况：一是提供宝石设计与制作实验课时完成200课时；二是珠宝设计实验实训平台搭建平台2个；三是校企共同培养学生人数120人.次，四是产业学院论文、专著、教材发表5篇。自评发现的主要问题及原因：一是项目绩效目标管理责任不明确。在项目资金实施过程中，个别项目存在未能及时跟踪项目的实施情况，个别项目负责人也存在对项目资金绩效目标能否按照主管部门批复的时限完成不关心、不在乎和互相推诿责任的现象；二是对于招标采购的硬件设备加强论证，多方考察，协同招标部门制定有效合理的采购方案，提高采购效率，缩短采购周期。</w:t>
      </w:r>
    </w:p>
    <w:p>
      <w:pPr>
        <w:autoSpaceDE w:val="0"/>
        <w:autoSpaceDN w:val="0"/>
        <w:adjustRightInd w:val="0"/>
        <w:spacing w:line="560" w:lineRule="exact"/>
        <w:ind w:firstLine="643"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下一步改进措施：</w:t>
      </w:r>
      <w:r>
        <w:rPr>
          <w:rFonts w:hint="eastAsia" w:ascii="仿宋_GB2312" w:hAnsi="仿宋_GB2312" w:eastAsia="仿宋_GB2312" w:cs="仿宋_GB2312"/>
          <w:color w:val="000000" w:themeColor="text1"/>
          <w:sz w:val="32"/>
          <w:szCs w:val="32"/>
          <w14:textFill>
            <w14:solidFill>
              <w14:schemeClr w14:val="tx1"/>
            </w14:solidFill>
          </w14:textFill>
        </w:rPr>
        <w:t>一是提前规划，做好项目储备，及早统筹，把工作做在前面，而不是被动地等待资金到位后才开展工作；</w:t>
      </w:r>
    </w:p>
    <w:p>
      <w:pPr>
        <w:autoSpaceDE w:val="0"/>
        <w:autoSpaceDN w:val="0"/>
        <w:adjustRightInd w:val="0"/>
        <w:spacing w:line="560" w:lineRule="exact"/>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进一步提高预算资金支出进度的认识。各单位主要负责人及项目负责人要高度重视预算执行，严格按照支出预算、用款计划等科学安排支出进度，把加快支出进度作为新学期的头等大事来对待。三是紧盯资金额度大、权重大、进度又不达标的重点单位。逐个梳理、深入查找项目预算执行进度缓慢的原因，召集相关单位一起拿出方案举措、齐心做好服务，在确保资金安全的条件下加快项目支出进度。 四是建立预算支出奖惩机制。对预算执行率未达标的单位或项目适当调减预算，并将预算执行工作与单位绩效、年度考核挂钩。五是加强对预算支出进度的分析预判。对于可能影响预算支出的因素进行预判，提前做好应对方案。</w:t>
      </w:r>
    </w:p>
    <w:p>
      <w:pPr>
        <w:autoSpaceDE w:val="0"/>
        <w:autoSpaceDN w:val="0"/>
        <w:adjustRightInd w:val="0"/>
        <w:spacing w:line="560" w:lineRule="exact"/>
        <w:jc w:val="center"/>
        <w:rPr>
          <w:rFonts w:hint="eastAsia" w:ascii="仿宋_GB2312" w:eastAsia="仿宋_GB2312" w:cs="仿宋_GB2312"/>
          <w:b/>
          <w:color w:val="000000" w:themeColor="text1"/>
          <w:kern w:val="0"/>
          <w:sz w:val="32"/>
          <w:szCs w:val="32"/>
          <w14:textFill>
            <w14:solidFill>
              <w14:schemeClr w14:val="tx1"/>
            </w14:solidFill>
          </w14:textFill>
        </w:rPr>
      </w:pPr>
    </w:p>
    <w:p>
      <w:pPr>
        <w:autoSpaceDE w:val="0"/>
        <w:autoSpaceDN w:val="0"/>
        <w:adjustRightInd w:val="0"/>
        <w:spacing w:line="560" w:lineRule="exact"/>
        <w:jc w:val="center"/>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第四部分  名词解释</w:t>
      </w:r>
    </w:p>
    <w:p>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一、财政拨款收入：指自治区财政部门当年拨付的资金。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二、事业收入：指事业单位开展专业业务活动及辅助活动所取得的收入。</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三、经营收入：指事业单位在专业业务活动及其辅助活动之外开展非独立核算经营活动取得的收入。</w:t>
      </w:r>
    </w:p>
    <w:p>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四、其他收入：指除上述“财政拨款收入”“事业收入”“经营收入”等以外的收入。</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五、使用非财政拨款结余：指事业单位在当年的“财政拨款收入”“事业收入”“经营收入”“其他收入”不足以安排当年支出的情况下，使用非财政拨款结余、专用结余弥补本年度收支缺口的资金。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十、项目支出：指在基本支出之外为完成特定行政任务和事业发展目标所发生的支出。 </w:t>
      </w:r>
    </w:p>
    <w:p>
      <w:pPr>
        <w:spacing w:line="56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footerReference r:id="rId5" w:type="even"/>
      <w:pgSz w:w="11906" w:h="16838"/>
      <w:pgMar w:top="2098" w:right="1474" w:bottom="1984" w:left="1588" w:header="851" w:footer="1559" w:gutter="0"/>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PAGE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10</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PAGE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10</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r>
                            <w:t>ImpTraceLabel=PD94bWwgdmVyc2lvbj0nMS4wJyBlbmNvZGluZz0nVVRGLTgnPz48dHJhY2U+PGNvbnRlbnQ+PC9jb250ZW50PjxhY2NvdW50PnBxYW8zM3V4c2ZnamN6anRhZ2Vyc3k8L2FjY291bnQ+PG1hY2hpbmVDb2RlPkszODkyODIxMDQwMTkKPC9tYWNoaW5lQ29kZT48dGltZT4yMDIzLTA4LTI0IDA4OjI4OjIw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r>
                      <w:t>ImpTraceLabel=PD94bWwgdmVyc2lvbj0nMS4wJyBlbmNvZGluZz0nVVRGLTgnPz48dHJhY2U+PGNvbnRlbnQ+PC9jb250ZW50PjxhY2NvdW50PnBxYW8zM3V4c2ZnamN6anRhZ2Vyc3k8L2FjY291bnQ+PG1hY2hpbmVDb2RlPkszODkyODIxMDQwMTkKPC9tYWNoaW5lQ29kZT48dGltZT4yMDIzLTA4LTI0IDA4OjI4OjIw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84D38"/>
    <w:multiLevelType w:val="singleLevel"/>
    <w:tmpl w:val="B5184D38"/>
    <w:lvl w:ilvl="0" w:tentative="0">
      <w:start w:val="1"/>
      <w:numFmt w:val="chineseCounting"/>
      <w:suff w:val="nothing"/>
      <w:lvlText w:val="%1、"/>
      <w:lvlJc w:val="left"/>
      <w:rPr>
        <w:rFonts w:hint="eastAsia"/>
      </w:rPr>
    </w:lvl>
  </w:abstractNum>
  <w:abstractNum w:abstractNumId="1">
    <w:nsid w:val="C5744A90"/>
    <w:multiLevelType w:val="singleLevel"/>
    <w:tmpl w:val="C5744A90"/>
    <w:lvl w:ilvl="0" w:tentative="0">
      <w:start w:val="1"/>
      <w:numFmt w:val="chineseCounting"/>
      <w:suff w:val="nothing"/>
      <w:lvlText w:val="（%1）"/>
      <w:lvlJc w:val="left"/>
      <w:rPr>
        <w:rFonts w:hint="eastAsia"/>
      </w:rPr>
    </w:lvl>
  </w:abstractNum>
  <w:abstractNum w:abstractNumId="2">
    <w:nsid w:val="FF52B6BE"/>
    <w:multiLevelType w:val="singleLevel"/>
    <w:tmpl w:val="FF52B6BE"/>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Y2UxNTZiYTI1NzkzMDhlOWFjZmE1NmU1ZGNkYjYifQ=="/>
  </w:docVars>
  <w:rsids>
    <w:rsidRoot w:val="0044603A"/>
    <w:rsid w:val="00226070"/>
    <w:rsid w:val="03E05C76"/>
    <w:rsid w:val="05AE3A2B"/>
    <w:rsid w:val="0F22407B"/>
    <w:rsid w:val="125935B6"/>
    <w:rsid w:val="1A5B14FC"/>
    <w:rsid w:val="1D555A8A"/>
    <w:rsid w:val="22062316"/>
    <w:rsid w:val="26BA6638"/>
    <w:rsid w:val="2DF61A6F"/>
    <w:rsid w:val="326237C0"/>
    <w:rsid w:val="37612685"/>
    <w:rsid w:val="382D2531"/>
    <w:rsid w:val="394818BB"/>
    <w:rsid w:val="3DDC3DE5"/>
    <w:rsid w:val="3E0028BE"/>
    <w:rsid w:val="3EDE4A62"/>
    <w:rsid w:val="4AD74DE4"/>
    <w:rsid w:val="524652D0"/>
    <w:rsid w:val="57C66B65"/>
    <w:rsid w:val="5976072E"/>
    <w:rsid w:val="5EAC1793"/>
    <w:rsid w:val="5F970090"/>
    <w:rsid w:val="60821CE9"/>
    <w:rsid w:val="619B44DB"/>
    <w:rsid w:val="642219C3"/>
    <w:rsid w:val="67805B47"/>
    <w:rsid w:val="689B046A"/>
    <w:rsid w:val="69622A18"/>
    <w:rsid w:val="74AA5B6F"/>
    <w:rsid w:val="7E9B1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szCs w:val="18"/>
    </w:rPr>
  </w:style>
  <w:style w:type="character" w:styleId="9">
    <w:name w:val="page number"/>
    <w:basedOn w:val="8"/>
    <w:qFormat/>
    <w:uiPriority w:val="0"/>
  </w:style>
  <w:style w:type="character" w:customStyle="1" w:styleId="10">
    <w:name w:val="页脚 Char"/>
    <w:link w:val="4"/>
    <w:qFormat/>
    <w:uiPriority w:val="99"/>
    <w:rPr>
      <w:rFonts w:eastAsia="宋体"/>
      <w:kern w:val="2"/>
      <w:sz w:val="18"/>
      <w:szCs w:val="18"/>
      <w:lang w:val="en-US" w:eastAsia="zh-CN" w:bidi="ar-SA"/>
    </w:rPr>
  </w:style>
  <w:style w:type="paragraph" w:customStyle="1" w:styleId="11">
    <w:name w:val="BodyText1I2"/>
    <w:basedOn w:val="12"/>
    <w:qFormat/>
    <w:uiPriority w:val="0"/>
    <w:pPr>
      <w:spacing w:before="0" w:after="120"/>
      <w:ind w:left="420" w:leftChars="200" w:right="0" w:firstLine="420" w:firstLineChars="200"/>
      <w:jc w:val="both"/>
      <w:textAlignment w:val="baseline"/>
    </w:pPr>
  </w:style>
  <w:style w:type="paragraph" w:customStyle="1" w:styleId="12">
    <w:name w:val="BodyTextIndent"/>
    <w:basedOn w:val="1"/>
    <w:qFormat/>
    <w:uiPriority w:val="0"/>
    <w:pPr>
      <w:spacing w:after="120"/>
      <w:ind w:left="420" w:leftChars="200"/>
      <w:jc w:val="both"/>
      <w:textAlignment w:val="baseline"/>
    </w:pPr>
    <w:rPr>
      <w:rFonts w:ascii="Times New Roman" w:hAnsi="Times New Roman"/>
      <w:kern w:val="2"/>
      <w:sz w:val="21"/>
      <w:szCs w:val="24"/>
      <w:lang w:val="en-US" w:eastAsia="zh-CN" w:bidi="ar-SA"/>
    </w:rPr>
  </w:style>
  <w:style w:type="paragraph" w:customStyle="1" w:styleId="13">
    <w:name w:val="No Spacing"/>
    <w:basedOn w:val="1"/>
    <w:qFormat/>
    <w:uiPriority w:val="0"/>
    <w:pPr>
      <w:widowControl/>
      <w:spacing w:before="0" w:beforeAutospacing="0" w:after="0" w:afterAutospacing="0"/>
      <w:ind w:left="0" w:right="0" w:firstLine="200" w:firstLineChars="200"/>
      <w:jc w:val="left"/>
    </w:pPr>
    <w:rPr>
      <w:rFonts w:hint="default" w:ascii="Times New Roman" w:hAnsi="Times New Roman" w:eastAsia="仿宋_GB2312" w:cs="Times New Roman"/>
      <w:kern w:val="0"/>
      <w:sz w:val="30"/>
      <w:szCs w:val="30"/>
      <w:lang w:val="en-US" w:eastAsia="zh-CN" w:bidi="ar"/>
    </w:rPr>
  </w:style>
</w:styles>
</file>

<file path=word/_rels/customizations.xml.rels><?xml version="1.0" encoding="UTF-8"?>

<Relationships xmlns="http://schemas.openxmlformats.org/package/2006/relationships">
  <Relationship Id="rId1" Type="http://schemas.microsoft.com/office/2006/relationships/attachedToolbars" Target="attachedToolbars.bin"/>
</Relationship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numbering" Target="numbering.xml"/>
  <Relationship Id="rId9" Type="http://schemas.microsoft.com/office/2006/relationships/keyMapCustomizations" Target="customization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7395</Words>
  <Characters>8379</Characters>
  <Lines>42</Lines>
  <Paragraphs>11</Paragraphs>
  <TotalTime>8</TotalTime>
  <ScaleCrop>false</ScaleCrop>
  <LinksUpToDate>false</LinksUpToDate>
  <CharactersWithSpaces>8430</CharactersWithSpaces>
  <Application>WPS Office_11.1.0.14309_F1E327BC-269C-435d-A152-05C5408002CA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2018-07-26T07:54:00Z</dcterms:created>
  <dc:creator>莫先孔</dc:creator>
  <lastModifiedBy>学无止境</lastModifiedBy>
  <lastPrinted>2018-07-26T07:54:00Z</lastPrinted>
  <dcterms:modified xsi:type="dcterms:W3CDTF">2023-09-11T03:58:49Z</dcterms:modified>
  <revision>55</revision>
  <dc:title>附件：（部门决算公开格式）</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FF9C2F5E6D4C4E4DB30D4C5FCB6BF2BA_13</vt:lpwstr>
  </property>
</Properties>
</file>